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E5EE5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0"/>
        <w:rPr>
          <w:rFonts w:hint="eastAsia" w:ascii="黑体" w:hAnsi="黑体" w:eastAsia="黑体" w:cs="楷体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楷体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附件5 详细需求信息</w:t>
      </w:r>
    </w:p>
    <w:bookmarkEnd w:id="0"/>
    <w:p w14:paraId="50BA4834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需实现的功能或目标</w:t>
      </w:r>
    </w:p>
    <w:p w14:paraId="457CD6EF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指定航段的行业各航司公开展示的直飞、经停航班价格数据。指定出发/到达航程的各航司公开展示的中转价格数据。实时价格查询接口。按照山航要求的数据采集频率定时推送。</w:t>
      </w:r>
    </w:p>
    <w:p w14:paraId="1971F63A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以上数据供航线管理业务使用，用来掌握市场动态，及时响应市场价格变化；同时可以深入挖掘数据信息，对业务决策提供支持。</w:t>
      </w:r>
    </w:p>
    <w:p w14:paraId="242005B4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需执行的国家、行业、地方或其他标准规范</w:t>
      </w:r>
    </w:p>
    <w:p w14:paraId="294F85EE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符合《中华人民共和国民法典》《中华人民共和国著作权法》《中华人民共和国著作权法实施条例》《中华人民共和国计算机软件保护条例》《中华人民共和国个人信息保护法》《中华人民共和国数据安全法》及其他相关的法律、法规规定。</w:t>
      </w:r>
    </w:p>
    <w:p w14:paraId="56AFCF18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需满足的数量、质量</w:t>
      </w:r>
    </w:p>
    <w:p w14:paraId="18E8C568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直飞/经停的航段价格，上限550段；国内+国内中转，上限2600段；国内+国际以及国际+国内中转，上限800段。</w:t>
      </w:r>
    </w:p>
    <w:p w14:paraId="1C9D0C8B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数据默认采集携程，同时支持切换到去哪儿、同程、航班管家、飞猪等主要OTA平台采集。</w:t>
      </w:r>
    </w:p>
    <w:p w14:paraId="7A8A3386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数据应符合安全性要求，传输完整、准确、稳定、及时。</w:t>
      </w:r>
    </w:p>
    <w:p w14:paraId="4189614E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交付或实施的时间和地点</w:t>
      </w:r>
    </w:p>
    <w:p w14:paraId="5510BA6F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数据根据约定的频率要求采用FTP数据包推送方式。</w:t>
      </w:r>
    </w:p>
    <w:p w14:paraId="06575D0F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需满足的服务标准、期限、效率等要求</w:t>
      </w:r>
    </w:p>
    <w:p w14:paraId="13F37B2D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指定航线起飞前0天至60天的运价数据，按如下频率更新所提供数据：航班起飞前0天至3天，每小时更新1次;航班起飞前4天至7天，每2小时更新1次;航班起飞前8天至14天，每4小时更新1次;航班起飞前15天至60天，每1天更新1次。</w:t>
      </w:r>
    </w:p>
    <w:p w14:paraId="4B846515">
      <w:pPr>
        <w:numPr>
          <w:ilvl w:val="0"/>
          <w:numId w:val="0"/>
        </w:numPr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（六）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验收标准</w:t>
      </w:r>
    </w:p>
    <w:p w14:paraId="3D35D4EF">
      <w:pPr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楷体_GB2312"/>
          <w:b w:val="0"/>
          <w:bCs w:val="0"/>
          <w:i w:val="0"/>
          <w:iCs w:val="0"/>
          <w:sz w:val="32"/>
          <w:szCs w:val="32"/>
          <w:lang w:val="en-US" w:eastAsia="zh-CN"/>
        </w:rPr>
        <w:t>采集数据达到99%以上的完整性和准确性。</w:t>
      </w:r>
    </w:p>
    <w:p w14:paraId="7EF4CCD1"/>
    <w:p w14:paraId="45145C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MmY2MmM1MTViOWI2MWEwMmFhODBlZTkzMzQ3MDIifQ=="/>
  </w:docVars>
  <w:rsids>
    <w:rsidRoot w:val="53425AA5"/>
    <w:rsid w:val="5342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2025-01-02T02:32:00Z</dcterms:created>
  <dc:creator>魚</dc:creator>
  <cp:lastModifiedBy>魚</cp:lastModifiedBy>
  <dcterms:modified xsi:type="dcterms:W3CDTF">2025-01-02T02:33:30Z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D7E2FBEF389B4D62906F636B293DE31B_11</vt:lpwstr>
  </property>
</Properties>
</file>