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210F83">
      <w:pPr>
        <w:pStyle w:val="3"/>
        <w:keepNext w:val="0"/>
        <w:keepLines w:val="0"/>
        <w:widowControl/>
        <w:suppressLineNumbers w:val="0"/>
        <w:snapToGrid/>
        <w:spacing w:beforeAutospacing="0" w:after="0" w:afterAutospacing="0" w:line="760" w:lineRule="exact"/>
        <w:ind w:left="0" w:leftChars="0" w:right="0" w:rightChars="0" w:firstLine="0" w:firstLineChars="0"/>
        <w:jc w:val="center"/>
        <w:rPr>
          <w:rFonts w:ascii="方正小标宋简体" w:hAnsi="方正小标宋简体" w:eastAsia="方正小标宋简体"/>
          <w:b w:val="0"/>
          <w:bCs w:val="0"/>
          <w:i w:val="0"/>
          <w:iCs w:val="0"/>
          <w:color w:val="000000" w:themeColor="text1"/>
          <w:sz w:val="44"/>
          <w:szCs w:val="44"/>
          <w:shd w:val="clear" w:color="auto" w:fill="auto"/>
          <w14:textFill>
            <w14:solidFill>
              <w14:schemeClr w14:val="tx1"/>
            </w14:solidFill>
          </w14:textFill>
        </w:rPr>
      </w:pPr>
      <w:bookmarkStart w:id="0" w:name="_GoBack"/>
      <w:bookmarkEnd w:id="0"/>
      <w:r>
        <w:rPr>
          <w:rFonts w:hint="eastAsia" w:ascii="方正小标宋简体" w:hAnsi="方正小标宋简体" w:eastAsia="方正小标宋简体" w:cs="方正小标宋简体"/>
          <w:b w:val="0"/>
          <w:bCs w:val="0"/>
          <w:i w:val="0"/>
          <w:iCs w:val="0"/>
          <w:color w:val="000000" w:themeColor="text1"/>
          <w:spacing w:val="0"/>
          <w:w w:val="100"/>
          <w:sz w:val="44"/>
          <w:szCs w:val="44"/>
          <w:shd w:val="clear" w:color="auto" w:fill="auto"/>
          <w:vertAlign w:val="baseline"/>
          <w:lang w:val="en-US" w:eastAsia="zh-CN"/>
          <w14:textFill>
            <w14:solidFill>
              <w14:schemeClr w14:val="tx1"/>
            </w14:solidFill>
          </w14:textFill>
        </w:rPr>
        <w:t>标段二：</w:t>
      </w:r>
      <w:r>
        <w:rPr>
          <w:rFonts w:hint="eastAsia" w:ascii="方正小标宋简体" w:hAnsi="方正小标宋简体" w:eastAsia="方正小标宋简体" w:cs="方正小标宋简体"/>
          <w:b w:val="0"/>
          <w:bCs w:val="0"/>
          <w:i w:val="0"/>
          <w:iCs w:val="0"/>
          <w:color w:val="000000" w:themeColor="text1"/>
          <w:spacing w:val="0"/>
          <w:w w:val="100"/>
          <w:sz w:val="44"/>
          <w:szCs w:val="44"/>
          <w:shd w:val="clear" w:color="auto" w:fill="auto"/>
          <w:vertAlign w:val="baseline"/>
          <w14:textFill>
            <w14:solidFill>
              <w14:schemeClr w14:val="tx1"/>
            </w14:solidFill>
          </w14:textFill>
        </w:rPr>
        <w:t>服务器及网络等设备</w:t>
      </w:r>
      <w:r>
        <w:rPr>
          <w:rFonts w:hint="eastAsia" w:ascii="方正小标宋简体" w:hAnsi="方正小标宋简体" w:eastAsia="方正小标宋简体" w:cs="方正小标宋简体"/>
          <w:b w:val="0"/>
          <w:bCs w:val="0"/>
          <w:i w:val="0"/>
          <w:iCs w:val="0"/>
          <w:color w:val="000000" w:themeColor="text1"/>
          <w:spacing w:val="0"/>
          <w:w w:val="100"/>
          <w:sz w:val="44"/>
          <w:szCs w:val="44"/>
          <w:shd w:val="clear" w:color="auto" w:fill="auto"/>
          <w:vertAlign w:val="baseline"/>
          <w:lang w:val="en-US" w:eastAsia="zh-CN"/>
          <w14:textFill>
            <w14:solidFill>
              <w14:schemeClr w14:val="tx1"/>
            </w14:solidFill>
          </w14:textFill>
        </w:rPr>
        <w:t>主要</w:t>
      </w:r>
      <w:r>
        <w:rPr>
          <w:rFonts w:hint="eastAsia" w:ascii="方正小标宋简体" w:hAnsi="方正小标宋简体" w:eastAsia="方正小标宋简体" w:cs="方正小标宋简体"/>
          <w:b w:val="0"/>
          <w:bCs w:val="0"/>
          <w:i w:val="0"/>
          <w:iCs w:val="0"/>
          <w:color w:val="000000" w:themeColor="text1"/>
          <w:spacing w:val="0"/>
          <w:w w:val="100"/>
          <w:sz w:val="44"/>
          <w:szCs w:val="44"/>
          <w:shd w:val="clear" w:color="auto" w:fill="auto"/>
          <w:vertAlign w:val="baseline"/>
          <w14:textFill>
            <w14:solidFill>
              <w14:schemeClr w14:val="tx1"/>
            </w14:solidFill>
          </w14:textFill>
        </w:rPr>
        <w:t>采购需求</w:t>
      </w:r>
    </w:p>
    <w:p w14:paraId="3591C2FF">
      <w:pPr>
        <w:pStyle w:val="3"/>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000000" w:themeColor="text1"/>
          <w:sz w:val="32"/>
          <w:szCs w:val="32"/>
          <w:shd w:val="clear" w:color="auto" w:fill="auto"/>
          <w14:textFill>
            <w14:solidFill>
              <w14:schemeClr w14:val="tx1"/>
            </w14:solidFill>
          </w14:textFill>
        </w:rPr>
      </w:pPr>
      <w:r>
        <w:rPr>
          <w:rFonts w:hint="eastAsia" w:ascii="黑体" w:hAnsi="黑体" w:eastAsia="黑体" w:cs="楷体"/>
          <w:b w:val="0"/>
          <w:bCs w:val="0"/>
          <w:i w:val="0"/>
          <w:iCs w:val="0"/>
          <w:color w:val="000000" w:themeColor="text1"/>
          <w:kern w:val="2"/>
          <w:sz w:val="32"/>
          <w:szCs w:val="32"/>
          <w:shd w:val="clear" w:fill="auto"/>
          <w:lang w:val="en-US" w:eastAsia="zh-CN" w:bidi="ar-SA"/>
          <w14:textFill>
            <w14:solidFill>
              <w14:schemeClr w14:val="tx1"/>
            </w14:solidFill>
          </w14:textFill>
        </w:rPr>
        <w:t>一、</w:t>
      </w:r>
      <w:r>
        <w:rPr>
          <w:rFonts w:ascii="黑体" w:hAnsi="黑体" w:eastAsia="黑体" w:cs="楷体_GB2312"/>
          <w:b w:val="0"/>
          <w:bCs w:val="0"/>
          <w:i w:val="0"/>
          <w:iCs w:val="0"/>
          <w:color w:val="000000" w:themeColor="text1"/>
          <w:spacing w:val="0"/>
          <w:w w:val="100"/>
          <w:sz w:val="32"/>
          <w:szCs w:val="32"/>
          <w:shd w:val="clear" w:color="auto" w:fill="auto"/>
          <w:vertAlign w:val="baseline"/>
          <w14:textFill>
            <w14:solidFill>
              <w14:schemeClr w14:val="tx1"/>
            </w14:solidFill>
          </w14:textFill>
        </w:rPr>
        <w:t>飞行模拟机驾驶舱影音呈现系统项目需求说明</w:t>
      </w:r>
    </w:p>
    <w:p w14:paraId="708D7FD6">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飞行模拟机驾驶舱影音呈现系统项目将分两个标段采购实施，主要目标为：在模拟机训练再现系统（TRS）自研软件平台上实现7台模拟机驾驶舱内录像音视频的高效重放，即时实现对训练场景的定制化还原。主要从三个层面实施。</w:t>
      </w:r>
    </w:p>
    <w:p w14:paraId="23872632">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首先，需要在模拟机驾驶舱特定环境下多角度安装摄像机，为每台模拟机各配置一套可支持不低于9个月时长录像资料的分布式存储阵列，总体部署一套流媒体管理平台及配套设备，控制录像的并发获取与播放，为第三方系统提供视频调取接口。</w:t>
      </w:r>
    </w:p>
    <w:p w14:paraId="6893E3F1">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其次，项目实施场地位于青岛培训部，视频实时存取对网络传输带宽要求较高，无法使用济南数据中心资源，因此需要采购服务器等设备在培训部部署系统；TRS系统与公司其他业务系统进行数据交互，需将培训部模拟机生产专网与公司内网连通，有效配置防火墙保障网络安全。</w:t>
      </w:r>
    </w:p>
    <w:p w14:paraId="0DE12C92">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最后，对于项目整体的网络互联，需要各式交换机、无线局域网热点等设备规划设计网络。培训部大楼内部多个办公室需完成相关信息化线缆敷设，与项目网络联通，满足用户终端访问需求。</w:t>
      </w:r>
    </w:p>
    <w:p w14:paraId="68AD021E">
      <w:pPr>
        <w:pStyle w:val="3"/>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000000" w:themeColor="text1"/>
          <w:sz w:val="32"/>
          <w:szCs w:val="32"/>
          <w:shd w:val="clear" w:color="auto" w:fill="auto"/>
          <w14:textFill>
            <w14:solidFill>
              <w14:schemeClr w14:val="tx1"/>
            </w14:solidFill>
          </w14:textFill>
        </w:rPr>
      </w:pPr>
      <w:r>
        <w:rPr>
          <w:rFonts w:hint="eastAsia" w:ascii="黑体" w:hAnsi="黑体" w:eastAsia="黑体" w:cs="楷体"/>
          <w:b w:val="0"/>
          <w:bCs w:val="0"/>
          <w:i w:val="0"/>
          <w:iCs w:val="0"/>
          <w:color w:val="000000" w:themeColor="text1"/>
          <w:kern w:val="2"/>
          <w:sz w:val="32"/>
          <w:szCs w:val="32"/>
          <w:shd w:val="clear" w:fill="auto"/>
          <w:lang w:val="en-US" w:eastAsia="zh-CN" w:bidi="ar-SA"/>
          <w14:textFill>
            <w14:solidFill>
              <w14:schemeClr w14:val="tx1"/>
            </w14:solidFill>
          </w14:textFill>
        </w:rPr>
        <w:t>二、</w:t>
      </w:r>
      <w:r>
        <w:rPr>
          <w:rFonts w:hint="eastAsia" w:ascii="黑体" w:hAnsi="黑体" w:eastAsia="黑体" w:cs="楷体_GB2312"/>
          <w:b w:val="0"/>
          <w:bCs w:val="0"/>
          <w:i w:val="0"/>
          <w:iCs w:val="0"/>
          <w:color w:val="000000" w:themeColor="text1"/>
          <w:spacing w:val="0"/>
          <w:w w:val="100"/>
          <w:sz w:val="32"/>
          <w:szCs w:val="32"/>
          <w:shd w:val="clear" w:color="auto" w:fill="auto"/>
          <w:vertAlign w:val="baseline"/>
          <w14:textFill>
            <w14:solidFill>
              <w14:schemeClr w14:val="tx1"/>
            </w14:solidFill>
          </w14:textFill>
        </w:rPr>
        <w:t>总体说明</w:t>
      </w:r>
    </w:p>
    <w:p w14:paraId="0D9E6307">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1、本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是对服务器及网络等设备的采购，主要包含信息系统及设备（服务器、操作系统、终端、网络交换机、网络防火墙等），只接受对全部货物完全投报。</w:t>
      </w:r>
    </w:p>
    <w:p w14:paraId="3579D2E1">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2、本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交付内容须逐项满足现行中华人民共和国以及省级行政级别或行业标准、技术规范的要求。</w:t>
      </w:r>
    </w:p>
    <w:p w14:paraId="4B6905E9">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3、供应商负责确保其投报内容的产品性能真实可靠，不得出现虚假、瞒报或混淆投报产品技术指标等情形，山航对此种情况造成的争议项将依据客观信息具有主要的认定权利。</w:t>
      </w:r>
    </w:p>
    <w:p w14:paraId="76B599C5">
      <w:pPr>
        <w:pStyle w:val="3"/>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000000" w:themeColor="text1"/>
          <w:sz w:val="32"/>
          <w:szCs w:val="32"/>
          <w:shd w:val="clear" w:color="auto" w:fill="auto"/>
          <w14:textFill>
            <w14:solidFill>
              <w14:schemeClr w14:val="tx1"/>
            </w14:solidFill>
          </w14:textFill>
        </w:rPr>
      </w:pPr>
      <w:r>
        <w:rPr>
          <w:rFonts w:hint="eastAsia" w:ascii="黑体" w:hAnsi="黑体" w:eastAsia="黑体" w:cs="楷体"/>
          <w:b w:val="0"/>
          <w:bCs w:val="0"/>
          <w:i w:val="0"/>
          <w:iCs w:val="0"/>
          <w:color w:val="000000" w:themeColor="text1"/>
          <w:kern w:val="2"/>
          <w:sz w:val="32"/>
          <w:szCs w:val="32"/>
          <w:shd w:val="clear" w:fill="auto"/>
          <w:lang w:val="en-US" w:eastAsia="zh-CN" w:bidi="ar-SA"/>
          <w14:textFill>
            <w14:solidFill>
              <w14:schemeClr w14:val="tx1"/>
            </w14:solidFill>
          </w14:textFill>
        </w:rPr>
        <w:t>三、</w:t>
      </w:r>
      <w:r>
        <w:rPr>
          <w:rFonts w:hint="eastAsia" w:ascii="黑体" w:hAnsi="黑体" w:eastAsia="黑体" w:cs="楷体_GB2312"/>
          <w:b w:val="0"/>
          <w:bCs w:val="0"/>
          <w:i w:val="0"/>
          <w:iCs w:val="0"/>
          <w:color w:val="000000" w:themeColor="text1"/>
          <w:spacing w:val="0"/>
          <w:w w:val="100"/>
          <w:sz w:val="32"/>
          <w:szCs w:val="32"/>
          <w:shd w:val="clear" w:color="auto" w:fill="auto"/>
          <w:vertAlign w:val="baseline"/>
          <w14:textFill>
            <w14:solidFill>
              <w14:schemeClr w14:val="tx1"/>
            </w14:solidFill>
          </w14:textFill>
        </w:rPr>
        <w:t>技术要求说明</w:t>
      </w:r>
    </w:p>
    <w:p w14:paraId="0E5BC6E2">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技术要求中标记有★符号的主要技术参数为必须满足指标，任意负偏离均认定为无效投报。山航提出的技术要求并非规定全部技术细节，也非完全引述有关标准和规范条文，供应商应提供符合该技术要求的优质产品。</w:t>
      </w:r>
    </w:p>
    <w:p w14:paraId="276E76FD">
      <w:pPr>
        <w:pStyle w:val="3"/>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000000" w:themeColor="text1"/>
          <w:sz w:val="32"/>
          <w:szCs w:val="32"/>
          <w:shd w:val="clear" w:color="auto" w:fill="auto"/>
          <w14:textFill>
            <w14:solidFill>
              <w14:schemeClr w14:val="tx1"/>
            </w14:solidFill>
          </w14:textFill>
        </w:rPr>
      </w:pPr>
      <w:r>
        <w:rPr>
          <w:rFonts w:hint="eastAsia" w:ascii="黑体" w:hAnsi="黑体" w:eastAsia="黑体" w:cs="楷体"/>
          <w:b w:val="0"/>
          <w:bCs w:val="0"/>
          <w:i w:val="0"/>
          <w:iCs w:val="0"/>
          <w:color w:val="000000" w:themeColor="text1"/>
          <w:kern w:val="2"/>
          <w:sz w:val="32"/>
          <w:szCs w:val="32"/>
          <w:shd w:val="clear" w:fill="auto"/>
          <w:lang w:val="en-US" w:eastAsia="zh-CN" w:bidi="ar-SA"/>
          <w14:textFill>
            <w14:solidFill>
              <w14:schemeClr w14:val="tx1"/>
            </w14:solidFill>
          </w14:textFill>
        </w:rPr>
        <w:t>四、</w:t>
      </w:r>
      <w:r>
        <w:rPr>
          <w:rFonts w:hint="eastAsia" w:ascii="黑体" w:hAnsi="黑体" w:eastAsia="黑体" w:cs="楷体_GB2312"/>
          <w:b w:val="0"/>
          <w:bCs w:val="0"/>
          <w:i w:val="0"/>
          <w:iCs w:val="0"/>
          <w:color w:val="000000" w:themeColor="text1"/>
          <w:spacing w:val="0"/>
          <w:w w:val="100"/>
          <w:sz w:val="32"/>
          <w:szCs w:val="32"/>
          <w:shd w:val="clear" w:color="auto" w:fill="auto"/>
          <w:vertAlign w:val="baseline"/>
          <w14:textFill>
            <w14:solidFill>
              <w14:schemeClr w14:val="tx1"/>
            </w14:solidFill>
          </w14:textFill>
        </w:rPr>
        <w:t>需实现的功能或目标</w:t>
      </w:r>
    </w:p>
    <w:p w14:paraId="7FC709E0">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1"/>
        <w:rPr>
          <w:rFonts w:ascii="楷体_GB2312" w:hAnsi="楷体_GB2312" w:eastAsia="楷体_GB2312"/>
          <w:b w:val="0"/>
          <w:bCs w:val="0"/>
          <w:i w:val="0"/>
          <w:iCs w:val="0"/>
          <w:color w:val="000000" w:themeColor="text1"/>
          <w:sz w:val="32"/>
          <w:szCs w:val="32"/>
          <w:shd w:val="clear" w:color="auto" w:fill="auto"/>
          <w14:textFill>
            <w14:solidFill>
              <w14:schemeClr w14:val="tx1"/>
            </w14:solidFill>
          </w14:textFill>
        </w:rPr>
      </w:pPr>
      <w:r>
        <w:rPr>
          <w:rFonts w:hint="eastAsia" w:ascii="楷体_GB2312" w:hAnsi="楷体_GB2312" w:eastAsia="楷体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1、需求概述</w:t>
      </w:r>
    </w:p>
    <w:p w14:paraId="0FE14C1E">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主要目标如下：</w:t>
      </w:r>
    </w:p>
    <w:p w14:paraId="6F45AED0">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其一，项目实施场地位于青岛培训部，视频实时存取对网络传输带宽要求较高，无法使用济南数据中心资源，因此需要采购服务器等设备在培训部部署系统；TRS系统与公司其他业务系统进行数据交互，需将培训部模拟机生产专网与公司内网连通，有效配置防火墙保障网络安全。</w:t>
      </w:r>
    </w:p>
    <w:p w14:paraId="03F94733">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其二，对于项目整体的网络互联，需要各式交换机、无线局域网热点等设备规划设计网络。培训部大楼内部多个办公室需完成相关信息化线缆敷设，与本项目网络联通，满足用户终端访问需求。</w:t>
      </w:r>
    </w:p>
    <w:p w14:paraId="6759BA79">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其三，除完成本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软硬件设备安装、调试以及涉及到的强弱电线路、音视频线路敷设、网络面板安装及旧线路拆除等工作外，还应将模拟机内的摄像头及数据存储阵列、流媒体管理平台、音频采集组件等设备组成的监控网并入到本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的网络中，同时，负责本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与监控网并网工作中涉及到的强弱电线路、音视频线路敷设、网络面板安装及旧线路拆除等工作。使前述设备可正常运行，并与本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的服务器、终端等设备的网络连通。</w:t>
      </w:r>
    </w:p>
    <w:p w14:paraId="367F61B2">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1"/>
        <w:rPr>
          <w:rFonts w:ascii="楷体_GB2312" w:hAnsi="楷体_GB2312" w:eastAsia="楷体_GB2312"/>
          <w:b w:val="0"/>
          <w:bCs w:val="0"/>
          <w:i w:val="0"/>
          <w:iCs w:val="0"/>
          <w:color w:val="000000" w:themeColor="text1"/>
          <w:sz w:val="32"/>
          <w:szCs w:val="32"/>
          <w:shd w:val="clear" w:color="auto" w:fill="auto"/>
          <w14:textFill>
            <w14:solidFill>
              <w14:schemeClr w14:val="tx1"/>
            </w14:solidFill>
          </w14:textFill>
        </w:rPr>
      </w:pPr>
      <w:r>
        <w:rPr>
          <w:rFonts w:hint="eastAsia" w:ascii="楷体_GB2312" w:hAnsi="楷体_GB2312" w:eastAsia="楷体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2、详细需求</w:t>
      </w:r>
    </w:p>
    <w:p w14:paraId="0597D885">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2"/>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★（1）最低功能要求</w:t>
      </w:r>
    </w:p>
    <w:p w14:paraId="13BE86A6">
      <w:pPr>
        <w:pStyle w:val="3"/>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9"/>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kern w:val="2"/>
          <w:sz w:val="32"/>
          <w:szCs w:val="32"/>
          <w:shd w:val="clear" w:fill="auto"/>
          <w:vertAlign w:val="baseline"/>
          <w:lang w:val="en-US" w:eastAsia="zh-CN" w:bidi="ar-SA"/>
          <w14:textFill>
            <w14:solidFill>
              <w14:schemeClr w14:val="tx1"/>
            </w14:solidFill>
          </w14:textFill>
        </w:rPr>
        <w:t>1）</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投报产品中网关AC控制器、无线局域网热点需为同一厂家提供；POE交换机、核心交换机、汇聚交换机需为同一厂家提供，以保障整体网络兼容性。应用服务器需厂家对代理商唯一授权。</w:t>
      </w:r>
    </w:p>
    <w:p w14:paraId="2BA9B950">
      <w:pPr>
        <w:pStyle w:val="3"/>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2）投报产品中全部UPS配置的电源总容量能支撑本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交换机、防火墙等相关网络设备、应用服务器，以及标段一设备中的全部摄像头、数据存储阵列及流媒体管理平台不间断运行时长不低于1小时。</w:t>
      </w:r>
    </w:p>
    <w:p w14:paraId="5EED052A">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3</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供应商向山航提供的硬件应当是原厂商生产的、全新的、未使用过的、外观和内部机构完好的、在设计、技术和材料上没有缺陷的，并应当保证其性能和质量符合原厂商规范。该硬件在安装前必须包装完好，随机资料完整。</w:t>
      </w:r>
    </w:p>
    <w:p w14:paraId="78E26B30">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2"/>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（2）其他功能要求</w:t>
      </w:r>
    </w:p>
    <w:p w14:paraId="24A3DFB1">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为交钥匙工程，中选供应商负责本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集成实施工作，需采购相关软硬件及厂家服务，按照本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需求完成舱内、模拟机计算机房、楼内讲评监察室等位置及沿线必要设备安装、网络覆盖、电源、视频等线路敷设、设备联调等施工服务。包括但不限于以下服务：</w:t>
      </w:r>
    </w:p>
    <w:p w14:paraId="66966DF3">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1）根据山航需要完成机柜、PDU等附件安装；部署UPS，将用电设备用电负载接入至UPS，上电测试。</w:t>
      </w:r>
    </w:p>
    <w:p w14:paraId="77164A53">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2）根据山航按项目需要而指定的位置，完成模拟机舱内、模拟机计算机房、楼内讲评监察室等位置及沿线必要的设备安装。</w:t>
      </w:r>
    </w:p>
    <w:p w14:paraId="14E4F943">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3）驾驶舱内需全域覆盖可访问全部应用服务器的无线网络，并按照山航要求完成配置。</w:t>
      </w:r>
    </w:p>
    <w:p w14:paraId="3F4A28F1">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4）根据山航项目需要，完成各相关设备（包括但不限于采购清单中需网络接入的设备）的组网工作。该组网工作包括但不限于：实现7台全动模拟机舱内和模拟机计算机房内设备组网；实现舱内平板电脑与全部应用服务器网络互通；部署</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山航</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培训楼内网络接入点，与模拟机舱内和模拟机计算机房设备网络连通，实现终端设备与全部应用服务器之间的可靠有线通信。</w:t>
      </w:r>
    </w:p>
    <w:p w14:paraId="7A1C3104">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整体项目涉及到强弱电线路、音视频线路敷设、网络面板安装及旧线路拆除等工作。报价需包含上述工作中所涉及的强弱电线缆、音视频线路、网络面板及其它配件等。所用线材辅料须采用国内主流的施工材料，并须征得山航书面同意后方可采用。</w:t>
      </w:r>
    </w:p>
    <w:p w14:paraId="24F53C99">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3）本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从各讲评监察室终端并发访问流媒体存储，峰值负载能力不低于17路4Mbps（含8路FHD）和3路12Mbps码流视频音频复合流。其中流媒体管理平台配合数据存储阵列的输出带宽需满足并发16个终端、每终端20路视频音频流，预计1664Mbps。</w:t>
      </w:r>
    </w:p>
    <w:p w14:paraId="0E22EE02">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highlight w:val="none"/>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highlight w:val="none"/>
          <w:shd w:val="clear" w:color="auto" w:fill="auto"/>
          <w:vertAlign w:val="baseline"/>
          <w14:textFill>
            <w14:solidFill>
              <w14:schemeClr w14:val="tx1"/>
            </w14:solidFill>
          </w14:textFill>
        </w:rPr>
        <w:t>★供应商对模拟机仪表区的作业承担损失责任，赔偿规模为不超过每台模拟机50万元人民币。</w:t>
      </w:r>
    </w:p>
    <w:p w14:paraId="22F10887">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2"/>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3</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）交付或实施的时间和地点</w:t>
      </w:r>
    </w:p>
    <w:p w14:paraId="07F3AE88">
      <w:pPr>
        <w:pStyle w:val="3"/>
        <w:keepNext w:val="0"/>
        <w:keepLines w:val="0"/>
        <w:widowControl/>
        <w:suppressLineNumbers w:val="0"/>
        <w:snapToGrid/>
        <w:spacing w:beforeAutospacing="0" w:after="6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地点：青岛培训部</w:t>
      </w:r>
    </w:p>
    <w:p w14:paraId="17279B95">
      <w:pPr>
        <w:pStyle w:val="3"/>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000000" w:themeColor="text1"/>
          <w:sz w:val="32"/>
          <w:szCs w:val="32"/>
          <w:shd w:val="clear" w:color="auto" w:fill="auto"/>
          <w14:textFill>
            <w14:solidFill>
              <w14:schemeClr w14:val="tx1"/>
            </w14:solidFill>
          </w14:textFill>
        </w:rPr>
      </w:pPr>
      <w:r>
        <w:rPr>
          <w:rFonts w:hint="eastAsia" w:ascii="黑体" w:hAnsi="黑体" w:eastAsia="黑体" w:cs="楷体"/>
          <w:b w:val="0"/>
          <w:bCs w:val="0"/>
          <w:i w:val="0"/>
          <w:iCs w:val="0"/>
          <w:color w:val="000000" w:themeColor="text1"/>
          <w:kern w:val="2"/>
          <w:sz w:val="32"/>
          <w:szCs w:val="32"/>
          <w:shd w:val="clear" w:fill="auto"/>
          <w:lang w:val="en-US" w:eastAsia="zh-CN" w:bidi="ar-SA"/>
          <w14:textFill>
            <w14:solidFill>
              <w14:schemeClr w14:val="tx1"/>
            </w14:solidFill>
          </w14:textFill>
        </w:rPr>
        <w:t>五、</w:t>
      </w:r>
      <w:r>
        <w:rPr>
          <w:rFonts w:hint="eastAsia" w:ascii="黑体" w:hAnsi="黑体" w:eastAsia="黑体" w:cs="楷体_GB2312"/>
          <w:b w:val="0"/>
          <w:bCs w:val="0"/>
          <w:i w:val="0"/>
          <w:iCs w:val="0"/>
          <w:color w:val="000000" w:themeColor="text1"/>
          <w:spacing w:val="0"/>
          <w:w w:val="100"/>
          <w:sz w:val="32"/>
          <w:szCs w:val="32"/>
          <w:shd w:val="clear" w:color="auto" w:fill="auto"/>
          <w:vertAlign w:val="baseline"/>
          <w14:textFill>
            <w14:solidFill>
              <w14:schemeClr w14:val="tx1"/>
            </w14:solidFill>
          </w14:textFill>
        </w:rPr>
        <w:t>设备技术参数</w:t>
      </w:r>
    </w:p>
    <w:tbl>
      <w:tblPr>
        <w:tblStyle w:val="4"/>
        <w:tblW w:w="85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10"/>
        <w:gridCol w:w="795"/>
        <w:gridCol w:w="1650"/>
        <w:gridCol w:w="4755"/>
        <w:gridCol w:w="825"/>
      </w:tblGrid>
      <w:tr w14:paraId="28830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9068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分类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63BF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名称</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D0274">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指标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EF215">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参数</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B9464">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数量</w:t>
            </w:r>
          </w:p>
        </w:tc>
      </w:tr>
      <w:tr w14:paraId="74D5D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8A783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网络设备</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15E27E">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POE交换机</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6E7B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★级别</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FC16E">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二层网管</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471165">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10</w:t>
            </w:r>
          </w:p>
        </w:tc>
      </w:tr>
      <w:tr w14:paraId="6B332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DD73E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E9DB7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261C4">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★端口数量及类型</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7BA32">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≥24个千兆自适应电口，≥4个千兆SFP光口</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10003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DC83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5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0CA3A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9C090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6F1FB">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★端口属性</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917F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支持堆叠技术；支持链路聚合；支持POE,POE+，整机最大POE输出功率≥370W</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DC4CE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4A56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E6666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D7F25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A4DC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★背板带宽</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D01D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≥336Gbps，满足POE交换机下多路摄像头视频音频流量转发需求</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E817E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D5A8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A6654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A227C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7CD9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★包转发率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0B393">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≥108Mbps，满足POE交换机下多路摄像头视频音频流量转发需求</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A4C7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68EB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C065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55208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D787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★外形结构</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1969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机架式1U挂耳</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7DF5D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DB67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0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9F4B7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6ED248">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核心交换机</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CA9D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★级别</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3BB2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三层网管企业级</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F9367D">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w:t>
            </w:r>
          </w:p>
        </w:tc>
      </w:tr>
      <w:tr w14:paraId="4C3C4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5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5F586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E8481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15D9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★端口数量及类型</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BDA66">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≥24口千兆电口，≥4个万兆光口</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AEC2A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0ACA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8CF3D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98EF6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D07E9">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★端口属性</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6483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支持堆叠技术；支持链路聚合</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0F62D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E804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B8D4C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03AF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4F15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★背板带宽</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1C5BE">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≥670Gbps，满足调取视频所产生的并发流量转发需求</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67629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3525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8B44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6E0F7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6FC5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★包转发率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A1A42">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≥144Mpps，满足调取视频所产生的并发流量转发需求</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6EDFC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AAA0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D4E0A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ECB9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C4D7C">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★结构</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D89FA">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机架式1U</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AA87A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A0CF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6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BD15C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4A7B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51C3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★冗余设计</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3C17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冗余电源，冗余风扇</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B3F33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EA80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62"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DBF8A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6B745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EFF0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其他</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4F71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1、MAC地址表≥32K</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2、支持ipv4/ipv6静态路由、支持RIPv1/v2、RIPng、支持OSPFv1/v2，OSPFv3、支持VRRP</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3、支持STP/RSTP/MSTP协议</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4、具备抗攻击功能；支持ACL功能；支持BGP4+路由协议安全及用户访问控制</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5、支持对接终端准入控制功能，配合后台系统可以将终端防病毒、补丁修复等终端安全措施与网络接入控制、访问权限控制等网络安全措施整合为一个联动的安全体系</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6、支持SPAN/RSPAN镜像和多个镜像观察端口</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7、支持SNMP、RMON（Remote Monitoring）、支持VCT（Virtual Cable Test）电缆检测功能</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9、支持可插拔交、直双电源模块</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10、支持虚拟化技术，将多台物理设备互相连接起来，使其虚拟为一台逻辑设备，同时按照用户需求实现弹性扩展，实现“热插拔”，不影响其他设备的正常运行</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ADAAA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0286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16191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24A5F4">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汇聚交换机</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DF8DF">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★级别</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4985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三层网管企业级</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DB2B83">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w:t>
            </w:r>
          </w:p>
        </w:tc>
      </w:tr>
      <w:tr w14:paraId="5BE0F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1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980AF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B53B7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75E20">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★端口数量及类型</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EE574">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24口千兆电口，4个万兆光口</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98C6D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807D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A1507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5E74D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69105">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★端口属性</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9E5A4">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支持堆叠技术；支持链路聚合</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8B96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0987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C1AFD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AB882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997B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★背板带宽</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4440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≥336Gbps，满足调取视频所产生的并发流量转发需求</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F9A14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7011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5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4AED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D73A1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13283">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★包转发率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61FD4">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≥108Mpps，满足调取视频所产生的并发流量转发需求</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42DC2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E932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3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C9B34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71EA8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C74A3">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★结构</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A7D54">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机架式1U</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84333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0A33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AEB71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ED6AA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06E7F">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★冗余设计</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DA9C8">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冗余电源，冗余风扇</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F37BB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71B2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8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8AF9A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F5DA3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2BA73">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其他</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3BD5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1、支持VLAN 4K，MAC地址≥32K</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2、支持终端准入控制功能，配合后台系统可以将终端防病毒、补丁修复等终端安全措施与网络接入控制、访问权限控制等网络安全措施整合为一个联动的安全体系</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3、支持STP/RSTP/MSTP/RRPP协议</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4、支持基于第二层、第三层和第四层的ACL</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5、支持虚拟化技术，将多台物理设备互相连接起来，使其虚拟为一台逻辑设备同时按照用户需求实现弹性扩展，可以实现“热插拔”，不影响其他设备的正常运行</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B9410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9AB1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041AE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09E3E3">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网关AC控制器</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1709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★端口数量及类型</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E7C6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≥2个GE WAN口，≥6个GE LAN口，≥2个10GBASE-R-SFP+接口</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16095E">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w:t>
            </w:r>
          </w:p>
        </w:tc>
      </w:tr>
      <w:tr w14:paraId="10C7E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F5031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81418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3FB3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★吞吐量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47A7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≥4Gbps</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1FB3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2466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B5BEC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79DD7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005F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电源</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C5309">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内置固化电源非外置电源适配器</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24504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430D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097F6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AC566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CA1EB">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管理数量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0E3D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最大管理AP数量≥128个，最大支持用户≥2048</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63C15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E744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2"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B64FA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D71A9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1DF50">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其他</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4FF6D">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1、支持AC内漫游，支持跨AC间漫游，支持跨VLAN的三层漫游</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2、支持MAC地址认证、802.1x认证（EAP-PAP、EAP-MD5、EAP-PEAP、EAP-TLS、EAP-TTLS）、Portal认证、MAC+Portal混合认证；支持WPA标准、WEP(WEP64/WEP128)、TKIP、CCMP；支持内置portal、dot1x服务器</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3、为保障无线稳定性，要求全网设备统一品牌，AC控制器与AP适配</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0B92E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FF4E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20AD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9BFCED">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防火墙</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DEF4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★千兆SFP光口</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DA5D1">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≥2个</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2FF83C">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w:t>
            </w:r>
          </w:p>
        </w:tc>
      </w:tr>
      <w:tr w14:paraId="7E7C6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2A2E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36AA3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F0E2F">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★千兆电口</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EE44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≥8个</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1592D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F2A9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3C43A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A819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BBA38">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★结构</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F73B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1U高度</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6A2B2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24CC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D3DB1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81AD6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D54A9">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★电源</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C275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冗余电源</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75C28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4892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EAA60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2DE02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5671F">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★SSD硬盘</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11A9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≥60GB</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EF613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14D1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54D42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76AE3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62BE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★内存</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E002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≥4GB</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E9ECB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F343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6ADEF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84172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A47BB">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★功能</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F03AD">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七层应用识别防火墙功能，标配含入侵防御、防病毒、URL过滤的不少于3年的Licenses许可使用授权。可通过购买License扩展（包括但不限于）：应用识别、入侵防御、防病毒、带宽管理、Anti-DDoS、URL过滤、反垃圾邮件功能等功能</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13C64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D204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BD916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B9A72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235D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★部署方式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1654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支持双机、链路热备、接口聚合及透明模式、路由模式</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BA98E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A365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37"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3C42E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D64BA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072C0">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★SFP光模块（LC-LC单模）</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06FB1">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≥5个</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AE077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6CF1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7C526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E89D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0BE03">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★吞吐量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E6096">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网络层吞吐量≥3Gbps,应用层吞吐量≥1Gbps,防病毒吞吐量≥400Mbps,IPS吞吐量≥250Mbps,全威胁吞吐量≥200Mbps</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D3069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C143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39"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42BB2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B44CD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6BC28">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最大并发连接数</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1085E">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≥100万个</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A3CED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9F9C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5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0C9DE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9BCB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57E8E">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每秒新建连接数</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8E6FF">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≥2万个</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BA2DD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5F79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0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FFA41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4ED44">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光模块</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CEDC9">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★配置</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05D1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光模块-SFP+万兆单模双纤，LC-LC，支持与主流厂商服务器光模块对接</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E586B">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18</w:t>
            </w:r>
          </w:p>
        </w:tc>
      </w:tr>
      <w:tr w14:paraId="520AE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5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394E4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D9E3BF">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无线局域网热点</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1B62F">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端口数量及类型</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25501">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固化接口数≥1个，包括1个10M/100M/1000M电口，提供官网链接和截图证明</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D2FBA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7</w:t>
            </w:r>
          </w:p>
        </w:tc>
      </w:tr>
      <w:tr w14:paraId="34DF0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2EF89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41480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F752C">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安装方式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5B4A4">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支持壁挂、吸顶和面板安装方式</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19E9D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1B41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8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80475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FC982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F12E2">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速率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B6D71">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整机协商速率≥2.9Gbps，其中5G射频速率≥2.4G，2.4G射频速率≥0.5G</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511F4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32D1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3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2D934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2611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13EE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工作模式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2B23F">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采用整机双频4流设计，可同时工作在802.11a/b/g/n/ac/ac wave2/ax模式</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28FC9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193D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8AAC9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应用服务器软硬件设备</w:t>
            </w:r>
          </w:p>
        </w:tc>
        <w:tc>
          <w:tcPr>
            <w:tcW w:w="795" w:type="dxa"/>
            <w:vMerge w:val="restart"/>
            <w:tcBorders>
              <w:top w:val="single" w:color="000000" w:sz="4" w:space="0"/>
              <w:left w:val="single" w:color="000000" w:sz="4" w:space="0"/>
              <w:bottom w:val="single" w:color="000000" w:sz="4" w:space="0"/>
              <w:right w:val="nil"/>
            </w:tcBorders>
            <w:shd w:val="clear" w:color="auto" w:fill="auto"/>
            <w:vAlign w:val="center"/>
          </w:tcPr>
          <w:p w14:paraId="7EE1321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应用服务器</w:t>
            </w:r>
          </w:p>
        </w:tc>
        <w:tc>
          <w:tcPr>
            <w:tcW w:w="1650" w:type="dxa"/>
            <w:vMerge w:val="restart"/>
            <w:tcBorders>
              <w:top w:val="single" w:color="000000" w:sz="4" w:space="0"/>
              <w:left w:val="single" w:color="000000" w:sz="4" w:space="0"/>
              <w:bottom w:val="nil"/>
              <w:right w:val="single" w:color="000000" w:sz="4" w:space="0"/>
            </w:tcBorders>
            <w:shd w:val="clear" w:color="auto" w:fill="auto"/>
            <w:vAlign w:val="top"/>
          </w:tcPr>
          <w:p w14:paraId="0E03B78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★CPU信息</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0FAD005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CPU型号:C86处理器（需求通用版型号，非特供版型号）</w:t>
            </w:r>
          </w:p>
        </w:tc>
        <w:tc>
          <w:tcPr>
            <w:tcW w:w="825" w:type="dxa"/>
            <w:vMerge w:val="restart"/>
            <w:tcBorders>
              <w:top w:val="single" w:color="000000" w:sz="4" w:space="0"/>
              <w:left w:val="nil"/>
              <w:bottom w:val="single" w:color="000000" w:sz="4" w:space="0"/>
              <w:right w:val="single" w:color="000000" w:sz="4" w:space="0"/>
            </w:tcBorders>
            <w:shd w:val="clear" w:color="auto" w:fill="auto"/>
            <w:vAlign w:val="center"/>
          </w:tcPr>
          <w:p w14:paraId="1DDA1FFC">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w:t>
            </w:r>
          </w:p>
        </w:tc>
      </w:tr>
      <w:tr w14:paraId="2CB32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7CFD7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EEEFFD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19FA39D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27FAD62D">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标配CPU数量≥2</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5455C23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E43D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0952E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3E00C0D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5C64A9E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66F6F8B3">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物理核心数≥16</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312F279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EC61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09658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45B3591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6AD0DF8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58045576">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基础主频≥2.2GHz</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7233031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377D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64A4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4D0B33E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36739B9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6509983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线程数≥32</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6A70AF5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7396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A4A68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8F3DB8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7DAFAB2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07F3266F">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支持内存的最高速率≥DDR4-3200MHz</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13D9734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27BB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ADE26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1B5D18E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5E9C50B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6A76FEDF">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位宽≥64</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28252D0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2D86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52155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E62491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2C8564A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6B6F4252">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CPU关键部件应当在中国信息安全测评中心发布的安全可靠测评结果公告（2023年第1号）所公布CPU名录中</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1BB5B63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139E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9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B0434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46BD6E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restart"/>
            <w:tcBorders>
              <w:top w:val="single" w:color="000000" w:sz="4" w:space="0"/>
              <w:left w:val="single" w:color="000000" w:sz="4" w:space="0"/>
              <w:bottom w:val="nil"/>
              <w:right w:val="single" w:color="000000" w:sz="4" w:space="0"/>
            </w:tcBorders>
            <w:shd w:val="clear" w:color="auto" w:fill="auto"/>
            <w:vAlign w:val="top"/>
          </w:tcPr>
          <w:p w14:paraId="1EB7CA5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★主板的CPU和内存情况</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7E15E6D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支持的CPU型号：C86处理器</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214213F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75DE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D69B1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51B8292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6162A5D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702C4C2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可装载CPU数量≥2</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4294DC7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0AF1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7EB4C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189804C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5CA7CC5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61A2073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内存规格及时钟频率≥DDR4-3200MHz</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54607EC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CE98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87D0A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214DE7E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197AD80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508E2599">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标配内存数量≥2条</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58BE915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2943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3D342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0000135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285EE66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5E057DCA">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标配内存总容量≥64G</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574D588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70C9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9591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1688131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2F85490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3684618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非板载内存的可扩展插槽数量≥16个</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227AC09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25CD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ED9B2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6D2BF8F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708E5B64">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主板存储接口</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35752067">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至少支持SATA3.0、SAS、M.2(NVMe)、U.2、PCIe(4.0-5.0)等存储接口中的1种</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384ECC0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3DDA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CE131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73404E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51CACBA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★PCIe插槽接口</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3803657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符合PCIe4.0或以上的高速串行计算机扩展总线标准，PCIe的接口速率与位宽需保证向下兼容</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2CB2228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E96D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39945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4E5AD8F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5FD4D94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★主板PCIe插槽数量及规格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7CF17524">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PCIe4.0插槽或接口≥6个</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18ACB49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42E6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A8602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EB8B99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5C8507B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★存储</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748284D2">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标配做完raid1后可用空间2TB的固态存储，标配做完raid6后可用空间30TB机械存储，此两类硬盘部件均要求采用企业级型号</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7037AC4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4C8A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4B121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28EF229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0817E1F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★3.5英寸盘位</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2A806FF7">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≥8个，兼容2.5英寸硬盘（含适配框架）</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6238A1D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B585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E0DE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626E9E4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737F00BE">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RAID卡支持的SAS接口数</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2C99DD82">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≥8</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284463D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6CC6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E0A03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0F05472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48DA4D54">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★网口速率和数量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071529B7">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千兆以太网接口≥4个，支持跨网段</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4F28DA2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B3A9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3FCF6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19F58C3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34EF37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4775705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管理口≥1个</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1773E2F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B92B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426EA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3D60566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15A215FC">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★电源模块数量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3A597879">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3EC1784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413C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7AAA9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16C8822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51992342">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电源功率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7DE166FE">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电源满足处理器满载时的需求，支持热插拔</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587C46B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5910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A0AA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420A216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4017D488">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★尺寸（高×宽×深）</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537386ED">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19英寸工业标准2U机架式，配置导轨、理线臂等机架安装套件</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262BEC2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2AFE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7C5A2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6EE6BAE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0B957AB8">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★环境适应性</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0334B00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气候环境适应性应符合GB/T 9813.3的有关规定，工作温度20～40℃；工作相对湿度35%～80%，贮存运输相对湿度20％～93%（40℃）</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22BD0F5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5A93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100D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BF5AE4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5F70827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★RAID卡RAID 级别支持</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728073E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缓存≥4GB,支持组盘数不少于8个,支持SAS、SATA等类型，配置断电保护，支持raid 0,1,3,5,6，01，10等主流模式</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5DCD1C4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FDC4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453EF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4CB5483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restart"/>
            <w:tcBorders>
              <w:top w:val="single" w:color="000000" w:sz="4" w:space="0"/>
              <w:left w:val="single" w:color="000000" w:sz="4" w:space="0"/>
              <w:bottom w:val="nil"/>
              <w:right w:val="single" w:color="000000" w:sz="4" w:space="0"/>
            </w:tcBorders>
            <w:shd w:val="clear" w:color="auto" w:fill="auto"/>
            <w:vAlign w:val="top"/>
          </w:tcPr>
          <w:p w14:paraId="2066053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★内存规格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1EEA3E1A">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标配内存总容量≥64G</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0373613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D18D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E83B1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21CBA43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2369087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648996F1">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标配内存数量≥2条</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3E84674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B793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1480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2A45C25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6DAE37A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31C8FBB6">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单内存模块容量≥32GB</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15EB0FF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DB5B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BA48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4BBADF1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76E6F69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2FD2113D">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内存速率≥3200MT/s</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409DE63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EE19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EE3B1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37A4A9D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8A28B">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显示器</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1EECE">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每服务器配置两台27英寸，mini-IPS面板，可视角度≥178度，色差DeltaE≤2，支持不低于4K分辨率@60Hz、99%sRGB色域、10bit色深、HDR1000、USB TYPE A/C扩展，含可升降、可旋转至竖屏、可摆向支架</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09FEDC5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B15E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CFEC6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60D84FB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5AE073D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固态硬盘可靠性</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3BA8407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SSD 的 m1 值（MTBF 的不可接受值）不低于200000h</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40BBD02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7CEB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F7002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4741E46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nil"/>
              <w:left w:val="single" w:color="000000" w:sz="4" w:space="0"/>
              <w:bottom w:val="single" w:color="000000" w:sz="4" w:space="0"/>
              <w:right w:val="single" w:color="000000" w:sz="4" w:space="0"/>
            </w:tcBorders>
            <w:shd w:val="clear" w:color="auto" w:fill="auto"/>
            <w:vAlign w:val="center"/>
          </w:tcPr>
          <w:p w14:paraId="0D485BD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导轨及附件</w:t>
            </w:r>
          </w:p>
        </w:tc>
        <w:tc>
          <w:tcPr>
            <w:tcW w:w="4755" w:type="dxa"/>
            <w:tcBorders>
              <w:top w:val="nil"/>
              <w:left w:val="single" w:color="000000" w:sz="4" w:space="0"/>
              <w:bottom w:val="single" w:color="000000" w:sz="4" w:space="0"/>
              <w:right w:val="single" w:color="000000" w:sz="4" w:space="0"/>
            </w:tcBorders>
            <w:shd w:val="clear" w:color="auto" w:fill="auto"/>
            <w:vAlign w:val="center"/>
          </w:tcPr>
          <w:p w14:paraId="5503F653">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含滚珠式滑动导轨，理线臂，104及以上键数机械键盘，光电鼠标（DPI≥4000）</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5B4522F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ED8A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C567D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844057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BBE2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其他</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B7567">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含上架安装配置、运维培训</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4724E50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2D0D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5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CEEAD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1924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应用服务器操作系统</w:t>
            </w:r>
          </w:p>
        </w:tc>
        <w:tc>
          <w:tcPr>
            <w:tcW w:w="1650" w:type="dxa"/>
            <w:tcBorders>
              <w:top w:val="single" w:color="000000" w:sz="4" w:space="0"/>
              <w:left w:val="single" w:color="000000" w:sz="4" w:space="0"/>
              <w:bottom w:val="nil"/>
              <w:right w:val="single" w:color="000000" w:sz="4" w:space="0"/>
            </w:tcBorders>
            <w:shd w:val="clear" w:color="auto" w:fill="auto"/>
            <w:vAlign w:val="center"/>
          </w:tcPr>
          <w:p w14:paraId="438ED3E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★品牌型号</w:t>
            </w:r>
          </w:p>
        </w:tc>
        <w:tc>
          <w:tcPr>
            <w:tcW w:w="4755" w:type="dxa"/>
            <w:tcBorders>
              <w:top w:val="single" w:color="000000" w:sz="4" w:space="0"/>
              <w:left w:val="single" w:color="000000" w:sz="4" w:space="0"/>
              <w:bottom w:val="nil"/>
              <w:right w:val="single" w:color="000000" w:sz="4" w:space="0"/>
            </w:tcBorders>
            <w:shd w:val="clear" w:color="auto" w:fill="auto"/>
            <w:vAlign w:val="center"/>
          </w:tcPr>
          <w:p w14:paraId="2990856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正版商用服务器版麒麟V10（正版授权及3年原厂服务）</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74E8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w:t>
            </w:r>
          </w:p>
        </w:tc>
      </w:tr>
      <w:tr w14:paraId="31EE0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05" w:hRule="atLeast"/>
        </w:trPr>
        <w:tc>
          <w:tcPr>
            <w:tcW w:w="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5CB7A5">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终端设备</w:t>
            </w:r>
          </w:p>
        </w:tc>
        <w:tc>
          <w:tcPr>
            <w:tcW w:w="795" w:type="dxa"/>
            <w:vMerge w:val="restart"/>
            <w:tcBorders>
              <w:top w:val="single" w:color="000000" w:sz="4" w:space="0"/>
              <w:left w:val="single" w:color="000000" w:sz="4" w:space="0"/>
              <w:bottom w:val="single" w:color="000000" w:sz="4" w:space="0"/>
              <w:right w:val="nil"/>
            </w:tcBorders>
            <w:shd w:val="clear" w:color="auto" w:fill="auto"/>
            <w:vAlign w:val="center"/>
          </w:tcPr>
          <w:p w14:paraId="35E9C0C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平板及附件</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DE9F9">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操作系统</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FC8C1">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HarmonyOS 3.1、MagicUI5.0、Android 13或更新版本</w:t>
            </w:r>
          </w:p>
        </w:tc>
        <w:tc>
          <w:tcPr>
            <w:tcW w:w="825" w:type="dxa"/>
            <w:vMerge w:val="restart"/>
            <w:tcBorders>
              <w:top w:val="single" w:color="000000" w:sz="4" w:space="0"/>
              <w:left w:val="nil"/>
              <w:bottom w:val="single" w:color="000000" w:sz="4" w:space="0"/>
              <w:right w:val="single" w:color="000000" w:sz="4" w:space="0"/>
            </w:tcBorders>
            <w:shd w:val="clear" w:color="auto" w:fill="auto"/>
            <w:vAlign w:val="center"/>
          </w:tcPr>
          <w:p w14:paraId="30475030">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9</w:t>
            </w:r>
          </w:p>
        </w:tc>
      </w:tr>
      <w:tr w14:paraId="20E0C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7C41B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6B8FFE8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EEB84">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处理器</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2DDAF">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高通骁龙695、迅鲲™900T或更高性能</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780D754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D749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168B2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2A85F80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21BD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屏幕尺寸</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2FC3F">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≥10 英寸</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01B849B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168D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ABF76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6FB01C7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513D5">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分辨率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F4451">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≥2000x1200</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2F5B28E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E1C8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2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AE8D0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31014CA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D1D79">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触摸屏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91D27">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电容式</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2305904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4CA8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ADF8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598548E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4ED58">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运行内存</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E0503">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≥6GB</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6910E5B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A465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E5283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58CE60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4A0AB">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存储容量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82A0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≥128GB（此容量不含扩展存储卡容量）</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5867B6B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8694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2E5F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2631930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06E5D">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蓝牙</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5DB58">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支持蓝牙5.1 及以上协议</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1696EDA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E7BA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6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4197E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24CD63B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EC139">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电池</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4F162">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≥7250mAh</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4951863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BF56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3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08D9C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6EFD2DA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4BA5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产品要求</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C6A5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通过 3C 认证</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6D2B7B4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8E3B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FC1E8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6A2656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4979D">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★网络连接</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24B6E">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WIFI/WLAN</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7C9CF28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60E4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3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8A14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19D691C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nil"/>
              <w:right w:val="single" w:color="000000" w:sz="4" w:space="0"/>
            </w:tcBorders>
            <w:shd w:val="clear" w:color="auto" w:fill="auto"/>
            <w:vAlign w:val="center"/>
          </w:tcPr>
          <w:p w14:paraId="752D2DA2">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★附件</w:t>
            </w:r>
          </w:p>
        </w:tc>
        <w:tc>
          <w:tcPr>
            <w:tcW w:w="4755" w:type="dxa"/>
            <w:tcBorders>
              <w:top w:val="single" w:color="000000" w:sz="4" w:space="0"/>
              <w:left w:val="single" w:color="000000" w:sz="4" w:space="0"/>
              <w:bottom w:val="nil"/>
              <w:right w:val="single" w:color="000000" w:sz="4" w:space="0"/>
            </w:tcBorders>
            <w:shd w:val="clear" w:color="auto" w:fill="auto"/>
            <w:vAlign w:val="center"/>
          </w:tcPr>
          <w:p w14:paraId="2F1FD99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含施工现场条件允许的支架、安全锁、保护膜、磁吸触控笔、充电套件、翻盖保护套（四角全包、商务风格）等</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59E9996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4B85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3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A5C90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restart"/>
            <w:tcBorders>
              <w:top w:val="single" w:color="000000" w:sz="4" w:space="0"/>
              <w:left w:val="single" w:color="000000" w:sz="4" w:space="0"/>
              <w:bottom w:val="nil"/>
              <w:right w:val="nil"/>
            </w:tcBorders>
            <w:shd w:val="clear" w:color="auto" w:fill="auto"/>
            <w:vAlign w:val="center"/>
          </w:tcPr>
          <w:p w14:paraId="5D66916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微型主机</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206B0">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★CPU信息</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D0AA9">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CPU型号:C86处理器（需求通用版型号，非特供版型号），最高主频≥3.0GHz，核心数≥8，线程数≥16，CPU支持的内存最高速率≥3200MT/s</w:t>
            </w:r>
          </w:p>
        </w:tc>
        <w:tc>
          <w:tcPr>
            <w:tcW w:w="825" w:type="dxa"/>
            <w:vMerge w:val="restart"/>
            <w:tcBorders>
              <w:top w:val="single" w:color="000000" w:sz="4" w:space="0"/>
              <w:left w:val="nil"/>
              <w:bottom w:val="nil"/>
              <w:right w:val="single" w:color="000000" w:sz="4" w:space="0"/>
            </w:tcBorders>
            <w:shd w:val="clear" w:color="auto" w:fill="auto"/>
            <w:vAlign w:val="center"/>
          </w:tcPr>
          <w:p w14:paraId="6F781D6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7</w:t>
            </w:r>
          </w:p>
        </w:tc>
      </w:tr>
      <w:tr w14:paraId="72F99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EACC3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429F140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71448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★内存规格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28A39">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内存配置容量≥32GB</w:t>
            </w:r>
          </w:p>
        </w:tc>
        <w:tc>
          <w:tcPr>
            <w:tcW w:w="825" w:type="dxa"/>
            <w:vMerge w:val="continue"/>
            <w:tcBorders>
              <w:top w:val="single" w:color="000000" w:sz="4" w:space="0"/>
              <w:left w:val="nil"/>
              <w:bottom w:val="nil"/>
              <w:right w:val="single" w:color="000000" w:sz="4" w:space="0"/>
            </w:tcBorders>
            <w:shd w:val="clear" w:color="auto" w:fill="auto"/>
            <w:vAlign w:val="center"/>
          </w:tcPr>
          <w:p w14:paraId="43EC6E3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B4545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6C16C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1CE3B17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61CAB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8814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内存读写速率≥3200MT/s</w:t>
            </w:r>
          </w:p>
        </w:tc>
        <w:tc>
          <w:tcPr>
            <w:tcW w:w="825" w:type="dxa"/>
            <w:vMerge w:val="continue"/>
            <w:tcBorders>
              <w:top w:val="single" w:color="000000" w:sz="4" w:space="0"/>
              <w:left w:val="nil"/>
              <w:bottom w:val="nil"/>
              <w:right w:val="single" w:color="000000" w:sz="4" w:space="0"/>
            </w:tcBorders>
            <w:shd w:val="clear" w:color="auto" w:fill="auto"/>
            <w:vAlign w:val="center"/>
          </w:tcPr>
          <w:p w14:paraId="5EBDABB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E74F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4C680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57D0A9F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6796C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DDE9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LPDDR4或DDR4及以上内存类型</w:t>
            </w:r>
          </w:p>
        </w:tc>
        <w:tc>
          <w:tcPr>
            <w:tcW w:w="825" w:type="dxa"/>
            <w:vMerge w:val="continue"/>
            <w:tcBorders>
              <w:top w:val="single" w:color="000000" w:sz="4" w:space="0"/>
              <w:left w:val="nil"/>
              <w:bottom w:val="nil"/>
              <w:right w:val="single" w:color="000000" w:sz="4" w:space="0"/>
            </w:tcBorders>
            <w:shd w:val="clear" w:color="auto" w:fill="auto"/>
            <w:vAlign w:val="center"/>
          </w:tcPr>
          <w:p w14:paraId="5D2533F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64EF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77"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B267D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6384919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restart"/>
            <w:tcBorders>
              <w:top w:val="single" w:color="000000" w:sz="4" w:space="0"/>
              <w:left w:val="single" w:color="000000" w:sz="4" w:space="0"/>
              <w:bottom w:val="nil"/>
              <w:right w:val="single" w:color="000000" w:sz="4" w:space="0"/>
            </w:tcBorders>
            <w:shd w:val="clear" w:color="auto" w:fill="auto"/>
            <w:vAlign w:val="center"/>
          </w:tcPr>
          <w:p w14:paraId="70074D2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主板规格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D762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支持ARM或C86架构处理器（8核，主频≥3.0GHz）</w:t>
            </w:r>
          </w:p>
        </w:tc>
        <w:tc>
          <w:tcPr>
            <w:tcW w:w="825" w:type="dxa"/>
            <w:vMerge w:val="continue"/>
            <w:tcBorders>
              <w:top w:val="single" w:color="000000" w:sz="4" w:space="0"/>
              <w:left w:val="nil"/>
              <w:bottom w:val="nil"/>
              <w:right w:val="single" w:color="000000" w:sz="4" w:space="0"/>
            </w:tcBorders>
            <w:shd w:val="clear" w:color="auto" w:fill="auto"/>
            <w:vAlign w:val="center"/>
          </w:tcPr>
          <w:p w14:paraId="38546F8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802E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2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ABAD8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1366457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center"/>
          </w:tcPr>
          <w:p w14:paraId="61A77ED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008F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空闲内存插槽数量≥2（板载内存不涉及）</w:t>
            </w:r>
          </w:p>
        </w:tc>
        <w:tc>
          <w:tcPr>
            <w:tcW w:w="825" w:type="dxa"/>
            <w:vMerge w:val="continue"/>
            <w:tcBorders>
              <w:top w:val="single" w:color="000000" w:sz="4" w:space="0"/>
              <w:left w:val="nil"/>
              <w:bottom w:val="nil"/>
              <w:right w:val="single" w:color="000000" w:sz="4" w:space="0"/>
            </w:tcBorders>
            <w:shd w:val="clear" w:color="auto" w:fill="auto"/>
            <w:vAlign w:val="center"/>
          </w:tcPr>
          <w:p w14:paraId="36C24C9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FC2B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8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2E981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01F3864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center"/>
          </w:tcPr>
          <w:p w14:paraId="3D40806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81D1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支持PCIe插槽数量不少于2个</w:t>
            </w:r>
          </w:p>
        </w:tc>
        <w:tc>
          <w:tcPr>
            <w:tcW w:w="825" w:type="dxa"/>
            <w:vMerge w:val="continue"/>
            <w:tcBorders>
              <w:top w:val="single" w:color="000000" w:sz="4" w:space="0"/>
              <w:left w:val="nil"/>
              <w:bottom w:val="nil"/>
              <w:right w:val="single" w:color="000000" w:sz="4" w:space="0"/>
            </w:tcBorders>
            <w:shd w:val="clear" w:color="auto" w:fill="auto"/>
            <w:vAlign w:val="center"/>
          </w:tcPr>
          <w:p w14:paraId="1DD37F7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9BDD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31E88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3114FBA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07ECD2">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存储设备规格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8149A">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固态盘数量≥1</w:t>
            </w:r>
          </w:p>
        </w:tc>
        <w:tc>
          <w:tcPr>
            <w:tcW w:w="825" w:type="dxa"/>
            <w:vMerge w:val="continue"/>
            <w:tcBorders>
              <w:top w:val="single" w:color="000000" w:sz="4" w:space="0"/>
              <w:left w:val="nil"/>
              <w:bottom w:val="nil"/>
              <w:right w:val="single" w:color="000000" w:sz="4" w:space="0"/>
            </w:tcBorders>
            <w:shd w:val="clear" w:color="auto" w:fill="auto"/>
            <w:vAlign w:val="center"/>
          </w:tcPr>
          <w:p w14:paraId="4CEF500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1B9B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1ECD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6AD474E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2B28C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835B6">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固态存储容量≥512GB</w:t>
            </w:r>
          </w:p>
        </w:tc>
        <w:tc>
          <w:tcPr>
            <w:tcW w:w="825" w:type="dxa"/>
            <w:vMerge w:val="continue"/>
            <w:tcBorders>
              <w:top w:val="single" w:color="000000" w:sz="4" w:space="0"/>
              <w:left w:val="nil"/>
              <w:bottom w:val="nil"/>
              <w:right w:val="single" w:color="000000" w:sz="4" w:space="0"/>
            </w:tcBorders>
            <w:shd w:val="clear" w:color="auto" w:fill="auto"/>
            <w:vAlign w:val="center"/>
          </w:tcPr>
          <w:p w14:paraId="1D0AADF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D139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67E52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3B778B8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9FBD7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3E6F2">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固态存储寿命，TBW≥170TB</w:t>
            </w:r>
          </w:p>
        </w:tc>
        <w:tc>
          <w:tcPr>
            <w:tcW w:w="825" w:type="dxa"/>
            <w:vMerge w:val="continue"/>
            <w:tcBorders>
              <w:top w:val="single" w:color="000000" w:sz="4" w:space="0"/>
              <w:left w:val="nil"/>
              <w:bottom w:val="nil"/>
              <w:right w:val="single" w:color="000000" w:sz="4" w:space="0"/>
            </w:tcBorders>
            <w:shd w:val="clear" w:color="auto" w:fill="auto"/>
            <w:vAlign w:val="center"/>
          </w:tcPr>
          <w:p w14:paraId="31A5AD2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7E39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C7AE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54C3820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4212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D1DD9">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采用M.2标准插卡形态</w:t>
            </w:r>
          </w:p>
        </w:tc>
        <w:tc>
          <w:tcPr>
            <w:tcW w:w="825" w:type="dxa"/>
            <w:vMerge w:val="continue"/>
            <w:tcBorders>
              <w:top w:val="single" w:color="000000" w:sz="4" w:space="0"/>
              <w:left w:val="nil"/>
              <w:bottom w:val="nil"/>
              <w:right w:val="single" w:color="000000" w:sz="4" w:space="0"/>
            </w:tcBorders>
            <w:shd w:val="clear" w:color="auto" w:fill="auto"/>
            <w:vAlign w:val="center"/>
          </w:tcPr>
          <w:p w14:paraId="6ECC16B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D464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4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EE13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1F307DF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restart"/>
            <w:tcBorders>
              <w:top w:val="single" w:color="000000" w:sz="4" w:space="0"/>
              <w:left w:val="single" w:color="000000" w:sz="4" w:space="0"/>
              <w:bottom w:val="nil"/>
              <w:right w:val="single" w:color="000000" w:sz="4" w:space="0"/>
            </w:tcBorders>
            <w:shd w:val="clear" w:color="auto" w:fill="auto"/>
            <w:vAlign w:val="center"/>
          </w:tcPr>
          <w:p w14:paraId="3765D4FF">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外设规格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1478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键盘：104键机械式；键程2.3mm~4.0mm；按键压力应在0.54N±0.14N；无线；按键寿命≥1000万次</w:t>
            </w:r>
          </w:p>
        </w:tc>
        <w:tc>
          <w:tcPr>
            <w:tcW w:w="825" w:type="dxa"/>
            <w:vMerge w:val="continue"/>
            <w:tcBorders>
              <w:top w:val="single" w:color="000000" w:sz="4" w:space="0"/>
              <w:left w:val="nil"/>
              <w:bottom w:val="nil"/>
              <w:right w:val="single" w:color="000000" w:sz="4" w:space="0"/>
            </w:tcBorders>
            <w:shd w:val="clear" w:color="auto" w:fill="auto"/>
            <w:vAlign w:val="center"/>
          </w:tcPr>
          <w:p w14:paraId="5408F5B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A7D6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5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5738A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7D5B286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center"/>
          </w:tcPr>
          <w:p w14:paraId="0520A9C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EC3B9">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鼠标：无线；DPI分辨率为800~1600；其它参数应符合GB/T 26245的相关规定；按键寿命≥500万次</w:t>
            </w:r>
          </w:p>
        </w:tc>
        <w:tc>
          <w:tcPr>
            <w:tcW w:w="825" w:type="dxa"/>
            <w:vMerge w:val="continue"/>
            <w:tcBorders>
              <w:top w:val="single" w:color="000000" w:sz="4" w:space="0"/>
              <w:left w:val="nil"/>
              <w:bottom w:val="nil"/>
              <w:right w:val="single" w:color="000000" w:sz="4" w:space="0"/>
            </w:tcBorders>
            <w:shd w:val="clear" w:color="auto" w:fill="auto"/>
            <w:vAlign w:val="center"/>
          </w:tcPr>
          <w:p w14:paraId="4B0A3A9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314C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397BC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53BF2A9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5D0359">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★显卡要求</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FBEE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支持4K视频流畅输出，与本清单的触控屏接口适配</w:t>
            </w:r>
          </w:p>
        </w:tc>
        <w:tc>
          <w:tcPr>
            <w:tcW w:w="825" w:type="dxa"/>
            <w:vMerge w:val="continue"/>
            <w:tcBorders>
              <w:top w:val="single" w:color="000000" w:sz="4" w:space="0"/>
              <w:left w:val="nil"/>
              <w:bottom w:val="nil"/>
              <w:right w:val="single" w:color="000000" w:sz="4" w:space="0"/>
            </w:tcBorders>
            <w:shd w:val="clear" w:color="auto" w:fill="auto"/>
            <w:vAlign w:val="center"/>
          </w:tcPr>
          <w:p w14:paraId="6634616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86D3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4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D8B2C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796E817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C2B28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139E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显卡应支持2块屏幕同时显示</w:t>
            </w:r>
          </w:p>
        </w:tc>
        <w:tc>
          <w:tcPr>
            <w:tcW w:w="825" w:type="dxa"/>
            <w:vMerge w:val="continue"/>
            <w:tcBorders>
              <w:top w:val="single" w:color="000000" w:sz="4" w:space="0"/>
              <w:left w:val="nil"/>
              <w:bottom w:val="nil"/>
              <w:right w:val="single" w:color="000000" w:sz="4" w:space="0"/>
            </w:tcBorders>
            <w:shd w:val="clear" w:color="auto" w:fill="auto"/>
            <w:vAlign w:val="center"/>
          </w:tcPr>
          <w:p w14:paraId="0D227E0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BB68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9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10F0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3FD6EC2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6E33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有线网卡速率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FF6ED">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最高速率应不低于1000Mbps，应支持10Mbps、100Mbps、1000Mbps速率自适应</w:t>
            </w:r>
          </w:p>
        </w:tc>
        <w:tc>
          <w:tcPr>
            <w:tcW w:w="825" w:type="dxa"/>
            <w:vMerge w:val="continue"/>
            <w:tcBorders>
              <w:top w:val="single" w:color="000000" w:sz="4" w:space="0"/>
              <w:left w:val="nil"/>
              <w:bottom w:val="nil"/>
              <w:right w:val="single" w:color="000000" w:sz="4" w:space="0"/>
            </w:tcBorders>
            <w:shd w:val="clear" w:color="auto" w:fill="auto"/>
            <w:vAlign w:val="center"/>
          </w:tcPr>
          <w:p w14:paraId="17DA45E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6338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70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0BD87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7BB4763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F55DF">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★I/O接口功能</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FEEE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提供基于标准USB接口外设连接功能、基于音频输入输出接口的音频扩展功能、基于PCIe接口板卡扩展功能、基于HDMI或VGA或Type-C或DVI或DP等接口外接显示器扩展功能、基于存储接口对产品进行增容功能等。产品I/O接口应具备外接标准USB设备、显示器、音频设备等内外部设备能力</w:t>
            </w:r>
          </w:p>
        </w:tc>
        <w:tc>
          <w:tcPr>
            <w:tcW w:w="825" w:type="dxa"/>
            <w:vMerge w:val="continue"/>
            <w:tcBorders>
              <w:top w:val="single" w:color="000000" w:sz="4" w:space="0"/>
              <w:left w:val="nil"/>
              <w:bottom w:val="nil"/>
              <w:right w:val="single" w:color="000000" w:sz="4" w:space="0"/>
            </w:tcBorders>
            <w:shd w:val="clear" w:color="auto" w:fill="auto"/>
            <w:vAlign w:val="center"/>
          </w:tcPr>
          <w:p w14:paraId="101B013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33BC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5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5A756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009BD38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8AA29">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★预装操作系统</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C29D9">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预装统信桌面操作系统V20（含彩虹桌面模块、正版授权及3年原厂服务）</w:t>
            </w:r>
          </w:p>
        </w:tc>
        <w:tc>
          <w:tcPr>
            <w:tcW w:w="825" w:type="dxa"/>
            <w:vMerge w:val="continue"/>
            <w:tcBorders>
              <w:top w:val="single" w:color="000000" w:sz="4" w:space="0"/>
              <w:left w:val="nil"/>
              <w:bottom w:val="nil"/>
              <w:right w:val="single" w:color="000000" w:sz="4" w:space="0"/>
            </w:tcBorders>
            <w:shd w:val="clear" w:color="auto" w:fill="auto"/>
            <w:vAlign w:val="center"/>
          </w:tcPr>
          <w:p w14:paraId="0A2319A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A55C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60AC6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76805A3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96945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★信息安全基本要求</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4B7E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a)产品应符合GB/T 39276的5.2的规定</w:t>
            </w:r>
          </w:p>
        </w:tc>
        <w:tc>
          <w:tcPr>
            <w:tcW w:w="825" w:type="dxa"/>
            <w:vMerge w:val="continue"/>
            <w:tcBorders>
              <w:top w:val="single" w:color="000000" w:sz="4" w:space="0"/>
              <w:left w:val="nil"/>
              <w:bottom w:val="nil"/>
              <w:right w:val="single" w:color="000000" w:sz="4" w:space="0"/>
            </w:tcBorders>
            <w:shd w:val="clear" w:color="auto" w:fill="auto"/>
            <w:vAlign w:val="center"/>
          </w:tcPr>
          <w:p w14:paraId="3B697F1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6C63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840B1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1356722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A4D00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48CA7">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b)生产厂商应建立漏洞跟踪表，保证产品版本涉及到的漏洞(如驱动程序等)可查看</w:t>
            </w:r>
          </w:p>
        </w:tc>
        <w:tc>
          <w:tcPr>
            <w:tcW w:w="825" w:type="dxa"/>
            <w:vMerge w:val="continue"/>
            <w:tcBorders>
              <w:top w:val="single" w:color="000000" w:sz="4" w:space="0"/>
              <w:left w:val="nil"/>
              <w:bottom w:val="nil"/>
              <w:right w:val="single" w:color="000000" w:sz="4" w:space="0"/>
            </w:tcBorders>
            <w:shd w:val="clear" w:color="auto" w:fill="auto"/>
            <w:vAlign w:val="center"/>
          </w:tcPr>
          <w:p w14:paraId="2ECA19A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6245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7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FD418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2D41FCC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61E8B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BADA8">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c)产品不得包含已知的恶意代码或漏洞，不存在未声明的指令、功能、接口</w:t>
            </w:r>
          </w:p>
        </w:tc>
        <w:tc>
          <w:tcPr>
            <w:tcW w:w="825" w:type="dxa"/>
            <w:vMerge w:val="continue"/>
            <w:tcBorders>
              <w:top w:val="single" w:color="000000" w:sz="4" w:space="0"/>
              <w:left w:val="nil"/>
              <w:bottom w:val="nil"/>
              <w:right w:val="single" w:color="000000" w:sz="4" w:space="0"/>
            </w:tcBorders>
            <w:shd w:val="clear" w:color="auto" w:fill="auto"/>
            <w:vAlign w:val="center"/>
          </w:tcPr>
          <w:p w14:paraId="69AFCDA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5A63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7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73303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5D1D925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1C2CC">
            <w:pPr>
              <w:pStyle w:val="3"/>
              <w:keepNext w:val="0"/>
              <w:keepLines w:val="0"/>
              <w:widowControl/>
              <w:suppressLineNumbers w:val="0"/>
              <w:spacing w:before="60" w:beforeAutospacing="0" w:after="60" w:afterAutospacing="0" w:line="20" w:lineRule="atLeast"/>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★机箱规格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6590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机箱容量不超过12L</w:t>
            </w:r>
          </w:p>
        </w:tc>
        <w:tc>
          <w:tcPr>
            <w:tcW w:w="825" w:type="dxa"/>
            <w:vMerge w:val="continue"/>
            <w:tcBorders>
              <w:top w:val="single" w:color="000000" w:sz="4" w:space="0"/>
              <w:left w:val="nil"/>
              <w:bottom w:val="nil"/>
              <w:right w:val="single" w:color="000000" w:sz="4" w:space="0"/>
            </w:tcBorders>
            <w:shd w:val="clear" w:color="auto" w:fill="auto"/>
            <w:vAlign w:val="center"/>
          </w:tcPr>
          <w:p w14:paraId="685BDB5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61CE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8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27A1A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22A9C">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触控屏</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073E5">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E1FE7">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4K分辨率65英寸以上,厚度不超过55毫米，电容触控,支持外部计算机有线接入显示，开机直显不带启动菜单；与微型主机适配</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A009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7</w:t>
            </w:r>
          </w:p>
        </w:tc>
      </w:tr>
      <w:tr w14:paraId="73EF1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8EF202">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配件</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BA522">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机柜及配电组件</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0445B">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B4304">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高度不低于32U，前后立面间距800mm，可锁定地脚轮及地脚钉，网孔前后门，侧板可快拆，板材厚度包括立柱2.0MM、侧板及前后门1.2MM、固定托盘1.2MM以上，内置固定托盘不少于6件、盲板不少于4件，自适应温度可调速风扇组（静音风扇不少于4件），每柜含2件各8位2500W总控国标PDU</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18EC4">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4</w:t>
            </w:r>
          </w:p>
        </w:tc>
      </w:tr>
      <w:tr w14:paraId="5F735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7E859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EFF7C">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显示器</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91B69">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B571D">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17-19寸，4K分辨率</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A8ACB">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4</w:t>
            </w:r>
          </w:p>
        </w:tc>
      </w:tr>
      <w:tr w14:paraId="19FD6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233A4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9FF3AB">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机房UPS</w:t>
            </w:r>
          </w:p>
        </w:tc>
        <w:tc>
          <w:tcPr>
            <w:tcW w:w="1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6E8F4E">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★性能</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FF761">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3KVA交流220V，支持稳压、防雷、防浪涌、网络远控、来电自启、6路以上国标10A3孔输出。</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5E09B5">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4</w:t>
            </w:r>
          </w:p>
        </w:tc>
      </w:tr>
      <w:tr w14:paraId="47C08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DBB67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F834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E1060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A9D66">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电池数量不少于8节。</w:t>
            </w:r>
          </w:p>
          <w:p w14:paraId="11B09537">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单节电池额定电压12V,单节电池额定容量不少于</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lang w:val="en-US" w:eastAsia="zh-CN"/>
                <w14:textFill>
                  <w14:solidFill>
                    <w14:schemeClr w14:val="tx1"/>
                  </w14:solidFill>
                </w14:textFill>
              </w:rPr>
              <w:t>80</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AH。</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363F8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62C8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652FC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7F2AA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D01CC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444EE">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标配不少于1个电池箱，单个电池箱支持放置不少于8节上述电池，且适用于上述ups主机。</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7263E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434B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0464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9944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B426A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92307">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配套连接线等辅件</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F1FED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AFD9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171"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6B75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施工、集成服务</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4F0B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施工、集成服务</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CE0B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★服务要求</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B0B64">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包括本</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lang w:val="en-US" w:eastAsia="zh-CN"/>
                <w14:textFill>
                  <w14:solidFill>
                    <w14:schemeClr w14:val="tx1"/>
                  </w14:solidFill>
                </w14:textFill>
              </w:rPr>
              <w:t>标段以及标段一</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相关的舱内、模拟机计算机房、楼内讲评监察室等位置及沿线必要设备安装，覆盖网络、电源、视频等线路敷设、设备联调等施工服务，涉及辅材包含线材、管路、转换转发器、配电组件等，满足系统应用需求</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80CE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w:t>
            </w:r>
          </w:p>
        </w:tc>
      </w:tr>
    </w:tbl>
    <w:p w14:paraId="49527B40">
      <w:pPr>
        <w:rPr>
          <w:color w:val="000000" w:themeColor="text1"/>
          <w:shd w:val="clear" w:color="auto" w:fill="auto"/>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trackRevisions w:val="1"/>
  <w:documentProtection w:edit="trackedChanges" w:enforcement="1" w:cryptProviderType="rsaFull" w:cryptAlgorithmClass="hash" w:cryptAlgorithmType="typeAny" w:cryptAlgorithmSid="4" w:cryptSpinCount="0" w:hash="kFN9tPkXsk8DeXNtw3vbvWFQo7Y=" w:salt="P6nN7w5rUltc9TyNXaSoLg=="/>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wNDBiYTRmZjhjZTBlZDIwNTRlMjE4MjMwNTkyMzYifQ=="/>
  </w:docVars>
  <w:rsids>
    <w:rsidRoot w:val="00000000"/>
    <w:rsid w:val="02192658"/>
    <w:rsid w:val="12F31813"/>
    <w:rsid w:val="19E021D5"/>
    <w:rsid w:val="204750E9"/>
    <w:rsid w:val="30FB54A7"/>
    <w:rsid w:val="313A6FB3"/>
    <w:rsid w:val="42F70785"/>
    <w:rsid w:val="4E873865"/>
    <w:rsid w:val="5DC4007C"/>
    <w:rsid w:val="5FE20799"/>
    <w:rsid w:val="6AAC264E"/>
    <w:rsid w:val="6B585B87"/>
    <w:rsid w:val="76082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8336</Words>
  <Characters>9579</Characters>
  <Lines>0</Lines>
  <Paragraphs>0</Paragraphs>
  <TotalTime>18</TotalTime>
  <ScaleCrop>false</ScaleCrop>
  <LinksUpToDate>false</LinksUpToDate>
  <CharactersWithSpaces>9631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2025-01-07T05:28:00Z</dcterms:created>
  <dc:creator>admin</dc:creator>
  <cp:lastModifiedBy>崔睿智</cp:lastModifiedBy>
  <dcterms:modified xsi:type="dcterms:W3CDTF">2025-01-26T06:06:49Z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C6888E0E501F44B79E971D3731284889_12</vt:lpwstr>
  </property>
</Properties>
</file>