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10F83">
      <w:pPr>
        <w:pStyle w:val="3"/>
        <w:keepNext w:val="0"/>
        <w:keepLines w:val="0"/>
        <w:widowControl/>
        <w:suppressLineNumbers w:val="0"/>
        <w:snapToGrid/>
        <w:spacing w:beforeAutospacing="0" w:after="0" w:afterAutospacing="0" w:line="760" w:lineRule="exact"/>
        <w:ind w:left="0" w:leftChars="0" w:right="0" w:rightChars="0" w:firstLine="0" w:firstLineChars="0"/>
        <w:jc w:val="center"/>
        <w:rPr>
          <w:rFonts w:ascii="方正小标宋简体" w:hAnsi="方正小标宋简体" w:eastAsia="方正小标宋简体"/>
          <w:b w:val="0"/>
          <w:bCs w:val="0"/>
          <w:i w:val="0"/>
          <w:iCs w:val="0"/>
          <w:color w:val="000000" w:themeColor="text1"/>
          <w:sz w:val="44"/>
          <w:szCs w:val="44"/>
          <w:shd w:val="clear" w:color="auto" w:fill="auto"/>
          <w14:textFill>
            <w14:solidFill>
              <w14:schemeClr w14:val="tx1"/>
            </w14:solidFill>
          </w14:textFill>
        </w:rPr>
      </w:pPr>
      <w:bookmarkStart w:id="0" w:name="_GoBack"/>
      <w:bookmarkEnd w:id="0"/>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lang w:val="en-US" w:eastAsia="zh-CN"/>
          <w14:textFill>
            <w14:solidFill>
              <w14:schemeClr w14:val="tx1"/>
            </w14:solidFill>
          </w14:textFill>
        </w:rPr>
        <w:t>标段二：</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14:textFill>
            <w14:solidFill>
              <w14:schemeClr w14:val="tx1"/>
            </w14:solidFill>
          </w14:textFill>
        </w:rPr>
        <w:t>服务器及网络等设备</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lang w:val="en-US" w:eastAsia="zh-CN"/>
          <w14:textFill>
            <w14:solidFill>
              <w14:schemeClr w14:val="tx1"/>
            </w14:solidFill>
          </w14:textFill>
        </w:rPr>
        <w:t>主要</w:t>
      </w:r>
      <w:r>
        <w:rPr>
          <w:rFonts w:hint="eastAsia" w:ascii="方正小标宋简体" w:hAnsi="方正小标宋简体" w:eastAsia="方正小标宋简体" w:cs="方正小标宋简体"/>
          <w:b w:val="0"/>
          <w:bCs w:val="0"/>
          <w:i w:val="0"/>
          <w:iCs w:val="0"/>
          <w:color w:val="000000" w:themeColor="text1"/>
          <w:spacing w:val="0"/>
          <w:w w:val="100"/>
          <w:sz w:val="44"/>
          <w:szCs w:val="44"/>
          <w:shd w:val="clear" w:color="auto" w:fill="auto"/>
          <w:vertAlign w:val="baseline"/>
          <w14:textFill>
            <w14:solidFill>
              <w14:schemeClr w14:val="tx1"/>
            </w14:solidFill>
          </w14:textFill>
        </w:rPr>
        <w:t>采购需求</w:t>
      </w:r>
    </w:p>
    <w:p w14:paraId="3591C2FF">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一、</w:t>
      </w:r>
      <w:r>
        <w:rPr>
          <w:rFonts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飞行模拟机驾驶舱影音呈现系统项目需求说明</w:t>
      </w:r>
    </w:p>
    <w:p w14:paraId="708D7FD6">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飞行模拟机驾驶舱影音呈现系统项目将分两个标段采购实施，主要目标为：在模拟机训练再现系统（TRS）自研软件平台上实现7台模拟机驾驶舱内录像音视频的高效重放，即时实现对训练场景的定制化还原。主要从三个层面实施。</w:t>
      </w:r>
    </w:p>
    <w:p w14:paraId="2387263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首先，需要在模拟机驾驶舱特定环境下多角度安装摄像机，为每台模拟机各配置一套可支持不低于9个月时长录像资料的分布式存储阵列，总体部署一套流媒体管理平台及配套设备，控制录像的并发获取与播放，为第三方系统提供视频调取接口。</w:t>
      </w:r>
    </w:p>
    <w:p w14:paraId="6893E3F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次，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0DE12C9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最后，对于项目整体的网络互联，需要各式交换机、无线局域网热点等设备规划设计网络。培训部大楼内部多个办公室需完成相关信息化线缆敷设，与项目网络联通，满足用户终端访问需求。</w:t>
      </w:r>
    </w:p>
    <w:p w14:paraId="68AD021E">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二、</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总体说明</w:t>
      </w:r>
    </w:p>
    <w:p w14:paraId="0D9E6307">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是对服务器及网络等设备的采购，主要包含信息系统及设备（服务器、操作系统、终端、网络交换机、网络防火墙等），只接受对全部货物完全投报。</w:t>
      </w:r>
    </w:p>
    <w:p w14:paraId="3579D2E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交付内容须逐项满足现行中华人民共和国以及省级行政级别或行业标准、技术规范的要求。</w:t>
      </w:r>
    </w:p>
    <w:p w14:paraId="4B6905E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3、供应商负责确保其投报内容的产品性能真实可靠，不得出现虚假、瞒报或混淆投报产品技术指标等情形，山航对此种情况造成的争议项将依据客观信息具有主要的认定权利。</w:t>
      </w:r>
    </w:p>
    <w:p w14:paraId="76B599C5">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三、</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技术要求说明</w:t>
      </w:r>
    </w:p>
    <w:p w14:paraId="0E5BC6E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技术要求中标记有★符号的主要技术参数为必须满足指标，任意负偏离均认定为无效投报。山航提出的技术要求并非规定全部技术细节，也非完全引述有关标准和规范条文，供应商应提供符合该技术要求的优质产品。</w:t>
      </w:r>
    </w:p>
    <w:p w14:paraId="276E76FD">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四、</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需实现的功能或目标</w:t>
      </w:r>
    </w:p>
    <w:p w14:paraId="7FC709E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000000" w:themeColor="text1"/>
          <w:sz w:val="32"/>
          <w:szCs w:val="32"/>
          <w:shd w:val="clear" w:color="auto" w:fill="auto"/>
          <w14:textFill>
            <w14:solidFill>
              <w14:schemeClr w14:val="tx1"/>
            </w14:solidFill>
          </w14:textFill>
        </w:rPr>
      </w:pPr>
      <w:r>
        <w:rPr>
          <w:rFonts w:hint="eastAsia" w:ascii="楷体_GB2312" w:hAnsi="楷体_GB2312" w:eastAsia="楷体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1、需求概述</w:t>
      </w:r>
    </w:p>
    <w:p w14:paraId="0FE14C1E">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主要目标如下：</w:t>
      </w:r>
    </w:p>
    <w:p w14:paraId="6F45AED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一，项目实施场地位于青岛培训部，视频实时存取对网络传输带宽要求较高，无法使用济南数据中心资源，因此需要采购服务器等设备在培训部部署系统；TRS系统与公司其他业务系统进行数据交互，需将培训部模拟机生产专网与公司内网连通，有效配置防火墙保障网络安全。</w:t>
      </w:r>
    </w:p>
    <w:p w14:paraId="03F9473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其二，对于项目整体的网络互联，需要各式交换机、无线局域网热点等设备规划设计网络。培训部大楼内部多个办公室需完成相关信息化线缆敷设，与本项目网络联通，满足用户终端访问需求。</w:t>
      </w:r>
    </w:p>
    <w:p w14:paraId="6759BA7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其三，除完成本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软硬件设备安装、调试以及涉及到的强弱电线路、音视频线路敷设、网络面板安装及旧线路拆除等工作外，还应将模拟机内的摄像头及数据存储阵列、流媒体管理平台、音频采集组件等设备组成的监控网并入到本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的网络中，同时，负责本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与监控网并网工作中涉及到的强弱电线路、音视频线路敷设、网络面板安装及旧线路拆除等工作。使前述设备可正常运行，并与本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的服务器、终端等设备的网络连通。</w:t>
      </w:r>
    </w:p>
    <w:p w14:paraId="367F61B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1"/>
        <w:rPr>
          <w:rFonts w:ascii="楷体_GB2312" w:hAnsi="楷体_GB2312" w:eastAsia="楷体_GB2312"/>
          <w:b w:val="0"/>
          <w:bCs w:val="0"/>
          <w:i w:val="0"/>
          <w:iCs w:val="0"/>
          <w:color w:val="000000" w:themeColor="text1"/>
          <w:sz w:val="32"/>
          <w:szCs w:val="32"/>
          <w:shd w:val="clear" w:color="auto" w:fill="auto"/>
          <w14:textFill>
            <w14:solidFill>
              <w14:schemeClr w14:val="tx1"/>
            </w14:solidFill>
          </w14:textFill>
        </w:rPr>
      </w:pPr>
      <w:r>
        <w:rPr>
          <w:rFonts w:hint="eastAsia" w:ascii="楷体_GB2312" w:hAnsi="楷体_GB2312" w:eastAsia="楷体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2、详细需求</w:t>
      </w:r>
    </w:p>
    <w:p w14:paraId="0597D885">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★（1）最低功能要求</w:t>
      </w:r>
    </w:p>
    <w:p w14:paraId="13BE86A6">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9"/>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kern w:val="2"/>
          <w:sz w:val="32"/>
          <w:szCs w:val="32"/>
          <w:shd w:val="clear" w:fill="auto"/>
          <w:vertAlign w:val="baseline"/>
          <w:lang w:val="en-US" w:eastAsia="zh-CN" w:bidi="ar-SA"/>
          <w14:textFill>
            <w14:solidFill>
              <w14:schemeClr w14:val="tx1"/>
            </w14:solidFill>
          </w14:textFill>
        </w:rPr>
        <w:t>1）</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投报产品中网关AC控制器、无线局域网热点需为同一厂家提供；POE交换机、核心交换机、汇聚交换机需为同一厂家提供，以保障整体网络兼容性。应用服务器需厂家对代理商唯一授权。</w:t>
      </w:r>
    </w:p>
    <w:p w14:paraId="2BA9B950">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2）投报产品中全部UPS配置的电源总容量能支撑本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交换机、防火墙等相关网络设备、应用服务器，以及标段一设备中的全部摄像头、数据存储阵列及流媒体管理平台不间断运行时长不低于1小时。</w:t>
      </w:r>
    </w:p>
    <w:p w14:paraId="5EED052A">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3</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供应商向山航提供的硬件应当是原厂商生产的、全新的、未使用过的、外观和内部机构完好的、在设计、技术和材料上没有缺陷的，并应当保证其性能和质量符合原厂商规范。该硬件在安装前必须包装完好，随机资料完整。</w:t>
      </w:r>
    </w:p>
    <w:p w14:paraId="78E26B30">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（2）其他功能要求</w:t>
      </w:r>
    </w:p>
    <w:p w14:paraId="24A3DFB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为交钥匙工程，中选供应商负责本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集成实施工作，需采购相关软硬件及厂家服务，按照本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需求完成舱内、模拟机计算机房、楼内讲评监察室等位置及沿线必要设备安装、网络覆盖、电源、视频等线路敷设、设备联调等施工服务。包括但不限于以下服务：</w:t>
      </w:r>
    </w:p>
    <w:p w14:paraId="66966DF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1）根据山航需要完成机柜、PDU等附件安装；部署UPS，将用电设备用电负载接入至UPS，上电测试。</w:t>
      </w:r>
    </w:p>
    <w:p w14:paraId="77164A5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2）根据山航按项目需要而指定的位置，完成模拟机舱内、模拟机计算机房、楼内讲评监察室等位置及沿线必要的设备安装。</w:t>
      </w:r>
    </w:p>
    <w:p w14:paraId="14E4F943">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3）驾驶舱内需全域覆盖可访问全部应用服务器的无线网络，并按照山航要求完成配置。</w:t>
      </w:r>
    </w:p>
    <w:p w14:paraId="3F4A28F1">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4）根据山航项目需要，完成各相关设备（包括但不限于采购清单中需网络接入的设备）的组网工作。该组网工作包括但不限于：实现7台全动模拟机舱内和模拟机计算机房内设备组网；实现舱内平板电脑与全部应用服务器网络互通；部署</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山航</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培训楼内网络接入点，与模拟机舱内和模拟机计算机房设备网络连通，实现终端设备与全部应用服务器之间的可靠有线通信。</w:t>
      </w:r>
    </w:p>
    <w:p w14:paraId="7A1C3104">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整体项目涉及到强弱电线路、音视频线路敷设、网络面板安装及旧线路拆除等工作。报价需包含上述工作中所涉及的强弱电线缆、音视频线路、网络面板及其它配件等。所用线材辅料须采用国内主流的施工材料，并须征得山航书面同意后方可采用。</w:t>
      </w:r>
    </w:p>
    <w:p w14:paraId="24F53C99">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3）本</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标段</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从各讲评监察室终端并发访问流媒体存储，峰值负载能力不低于17路4Mbps（含8路FHD）和3路12Mbps码流视频音频复合流。其中流媒体管理平台配合数据存储阵列的输出带宽需满足并发16个终端、每终端20路视频音频流，预计1664Mbps。</w:t>
      </w:r>
    </w:p>
    <w:p w14:paraId="0E22EE02">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highlight w:val="none"/>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highlight w:val="none"/>
          <w:shd w:val="clear" w:color="auto" w:fill="auto"/>
          <w:vertAlign w:val="baseline"/>
          <w14:textFill>
            <w14:solidFill>
              <w14:schemeClr w14:val="tx1"/>
            </w14:solidFill>
          </w14:textFill>
        </w:rPr>
        <w:t>★供应商对模拟机仪表区的作业承担损失责任，赔偿规模为不超过每台模拟机50万元人民币。</w:t>
      </w:r>
    </w:p>
    <w:p w14:paraId="22F10887">
      <w:pPr>
        <w:pStyle w:val="3"/>
        <w:keepNext w:val="0"/>
        <w:keepLines w:val="0"/>
        <w:widowControl/>
        <w:suppressLineNumbers w:val="0"/>
        <w:snapToGrid/>
        <w:spacing w:beforeAutospacing="0" w:after="0" w:afterAutospacing="0" w:line="336" w:lineRule="auto"/>
        <w:ind w:left="0" w:leftChars="0" w:right="0" w:rightChars="0" w:firstLine="640" w:firstLineChars="200"/>
        <w:jc w:val="both"/>
        <w:outlineLvl w:val="2"/>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lang w:val="en-US" w:eastAsia="zh-CN"/>
          <w14:textFill>
            <w14:solidFill>
              <w14:schemeClr w14:val="tx1"/>
            </w14:solidFill>
          </w14:textFill>
        </w:rPr>
        <w:t>3</w:t>
      </w: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）交付或实施的时间和地点</w:t>
      </w:r>
    </w:p>
    <w:p w14:paraId="07F3AE88">
      <w:pPr>
        <w:pStyle w:val="3"/>
        <w:keepNext w:val="0"/>
        <w:keepLines w:val="0"/>
        <w:widowControl/>
        <w:suppressLineNumbers w:val="0"/>
        <w:snapToGrid/>
        <w:spacing w:beforeAutospacing="0" w:after="60" w:afterAutospacing="0" w:line="336" w:lineRule="auto"/>
        <w:ind w:left="0" w:leftChars="0" w:right="0" w:rightChars="0" w:firstLine="640" w:firstLineChars="200"/>
        <w:jc w:val="both"/>
        <w:outlineLvl w:val="9"/>
        <w:rPr>
          <w:rFonts w:ascii="仿宋_GB2312" w:hAnsi="仿宋_GB2312" w:eastAsia="仿宋_GB2312"/>
          <w:b w:val="0"/>
          <w:bCs w:val="0"/>
          <w:i w:val="0"/>
          <w:iCs w:val="0"/>
          <w:color w:val="000000" w:themeColor="text1"/>
          <w:sz w:val="32"/>
          <w:szCs w:val="32"/>
          <w:shd w:val="clear" w:color="auto" w:fill="auto"/>
          <w14:textFill>
            <w14:solidFill>
              <w14:schemeClr w14:val="tx1"/>
            </w14:solidFill>
          </w14:textFill>
        </w:rPr>
      </w:pPr>
      <w:r>
        <w:rPr>
          <w:rFonts w:hint="eastAsia" w:ascii="仿宋_GB2312" w:hAnsi="仿宋_GB2312" w:eastAsia="仿宋_GB2312" w:cs="楷体"/>
          <w:b w:val="0"/>
          <w:bCs w:val="0"/>
          <w:i w:val="0"/>
          <w:iCs w:val="0"/>
          <w:color w:val="000000" w:themeColor="text1"/>
          <w:spacing w:val="0"/>
          <w:w w:val="100"/>
          <w:sz w:val="32"/>
          <w:szCs w:val="32"/>
          <w:shd w:val="clear" w:color="auto" w:fill="auto"/>
          <w:vertAlign w:val="baseline"/>
          <w14:textFill>
            <w14:solidFill>
              <w14:schemeClr w14:val="tx1"/>
            </w14:solidFill>
          </w14:textFill>
        </w:rPr>
        <w:t>地点：青岛培训部</w:t>
      </w:r>
    </w:p>
    <w:p w14:paraId="17279B95">
      <w:pPr>
        <w:pStyle w:val="3"/>
        <w:keepNext w:val="0"/>
        <w:keepLines w:val="0"/>
        <w:widowControl/>
        <w:numPr>
          <w:ilvl w:val="0"/>
          <w:numId w:val="0"/>
        </w:numPr>
        <w:suppressLineNumbers w:val="0"/>
        <w:snapToGrid/>
        <w:spacing w:beforeAutospacing="0" w:after="0" w:afterAutospacing="0" w:line="336" w:lineRule="auto"/>
        <w:ind w:left="0" w:leftChars="0" w:right="0" w:rightChars="0" w:firstLine="640" w:firstLineChars="200"/>
        <w:jc w:val="both"/>
        <w:outlineLvl w:val="0"/>
        <w:rPr>
          <w:rFonts w:ascii="黑体" w:hAnsi="黑体" w:eastAsia="黑体"/>
          <w:b w:val="0"/>
          <w:bCs w:val="0"/>
          <w:i w:val="0"/>
          <w:iCs w:val="0"/>
          <w:color w:val="000000" w:themeColor="text1"/>
          <w:sz w:val="32"/>
          <w:szCs w:val="32"/>
          <w:shd w:val="clear" w:color="auto" w:fill="auto"/>
          <w14:textFill>
            <w14:solidFill>
              <w14:schemeClr w14:val="tx1"/>
            </w14:solidFill>
          </w14:textFill>
        </w:rPr>
      </w:pPr>
      <w:r>
        <w:rPr>
          <w:rFonts w:hint="eastAsia" w:ascii="黑体" w:hAnsi="黑体" w:eastAsia="黑体" w:cs="楷体"/>
          <w:b w:val="0"/>
          <w:bCs w:val="0"/>
          <w:i w:val="0"/>
          <w:iCs w:val="0"/>
          <w:color w:val="000000" w:themeColor="text1"/>
          <w:kern w:val="2"/>
          <w:sz w:val="32"/>
          <w:szCs w:val="32"/>
          <w:shd w:val="clear" w:fill="auto"/>
          <w:lang w:val="en-US" w:eastAsia="zh-CN" w:bidi="ar-SA"/>
          <w14:textFill>
            <w14:solidFill>
              <w14:schemeClr w14:val="tx1"/>
            </w14:solidFill>
          </w14:textFill>
        </w:rPr>
        <w:t>五、</w:t>
      </w:r>
      <w:r>
        <w:rPr>
          <w:rFonts w:hint="eastAsia" w:ascii="黑体" w:hAnsi="黑体" w:eastAsia="黑体" w:cs="楷体_GB2312"/>
          <w:b w:val="0"/>
          <w:bCs w:val="0"/>
          <w:i w:val="0"/>
          <w:iCs w:val="0"/>
          <w:color w:val="000000" w:themeColor="text1"/>
          <w:spacing w:val="0"/>
          <w:w w:val="100"/>
          <w:sz w:val="32"/>
          <w:szCs w:val="32"/>
          <w:shd w:val="clear" w:color="auto" w:fill="auto"/>
          <w:vertAlign w:val="baseline"/>
          <w14:textFill>
            <w14:solidFill>
              <w14:schemeClr w14:val="tx1"/>
            </w14:solidFill>
          </w14:textFill>
        </w:rPr>
        <w:t>设备技术参数</w:t>
      </w:r>
    </w:p>
    <w:tbl>
      <w:tblPr>
        <w:tblStyle w:val="4"/>
        <w:tblW w:w="85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0"/>
        <w:gridCol w:w="795"/>
        <w:gridCol w:w="1650"/>
        <w:gridCol w:w="4755"/>
        <w:gridCol w:w="825"/>
      </w:tblGrid>
      <w:tr w14:paraId="28830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9068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分类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3BF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名称</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D027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指标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F21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参数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946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数量</w:t>
            </w:r>
          </w:p>
        </w:tc>
      </w:tr>
      <w:tr w14:paraId="74D5D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8A783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网络设备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5E27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POE交换机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6E7B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C16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二层网管</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7116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w:t>
            </w:r>
          </w:p>
        </w:tc>
      </w:tr>
      <w:tr w14:paraId="6B332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D73E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9DB7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61C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A3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≥24个千兆自适应电口，≥4个千兆SFP光口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000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DC8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CA3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C09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6F1F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917F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支持堆叠技术；支持链路聚合；支持POE,POE+，整机最大POE输出功率≥370W</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C4CE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4A56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666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7F25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A4DC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D01D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≥336Gbps，满足POE交换机下多路摄像头视频音频流量转发需求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817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D5A8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665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227C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CD9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B39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≥108Mbps，满足POE交换机下多路摄像头视频音频流量转发需求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A4C7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68EB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C065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55208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787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★外形结构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969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机架式1U挂耳</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DF5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DB67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F4B7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ED24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核心交换机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A9D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BB2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三层网管企业级</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9367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4C3C4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F586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8481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5D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DA6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≥24口千兆电口，≥4个万兆光口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EC2A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ACA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CF3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8EF6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07E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483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F62D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804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8D4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03AF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4F1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C5B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≥670Gbps，满足调取视频所产生的并发流量转发需求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7629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525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8B44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E0F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FC5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1A4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≥144Mpps，满足调取视频所产生的并发流量转发需求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EDFC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AA0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4E0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ECB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4D7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D89F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A87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0CF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BD15C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4A7B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1C3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★冗余设计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C1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冗余电源，冗余风扇</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3F33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EA80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62"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BF8A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B74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FF0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F71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1、MAC地址表≥32K</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2、支持ipv4/ipv6静态路由、支持RIPv1/v2、RIPng、支持OSPFv1/v2，OSPFv3、支持VRRP</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3、支持STP/RSTP/MSTP协议</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4、具备抗攻击功能；支持ACL功能；支持BGP4+路由协议安全及用户访问控制</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5、支持对接终端准入控制功能，配合后台系统可以将终端防病毒、补丁修复等终端安全措施与网络接入控制、访问权限控制等网络安全措施整合为一个联动的安全体系</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6、支持SPAN/RSPAN镜像和多个镜像观察端口</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7、支持SNMP、RMON（Remote Monitoring）、支持VCT（Virtual Cable Test）电缆检测功能</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9、支持可插拔交、直双电源模块</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10、支持虚拟化技术，将多台物理设备互相连接起来，使其虚拟为一台逻辑设备，同时按照用户需求实现弹性扩展，实现“热插拔”，不影响其他设备的正常运行</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DAAA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0286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619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4A5F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汇聚交换机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F8D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★级别</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985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三层网管企业级</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B2B8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5BE0F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80AF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53B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5E2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E57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24口千兆电口，4个万兆光口</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8C6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807D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1507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E74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910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★端口属性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E5A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支持堆叠技术；支持链路聚合</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8B9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987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1AFD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B882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97B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★背板带宽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440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≥336Gbps，满足调取视频所产生的并发流量转发需求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9A14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7011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4AE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73A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328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★包转发率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1FD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≥108Mpps，满足调取视频所产生的并发流量转发需求</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2DC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E932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9B34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1EA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74A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A7D5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机架式1U</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84333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0A33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EB71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D6AA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06E7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★冗余设计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A9C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冗余电源，冗余风扇</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37BB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71B2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AF9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5DA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BA7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BD5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1、支持VLAN 4K，MAC地址≥32K</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2、支持终端准入控制功能，配合后台系统可以将终端防病毒、补丁修复等终端安全措施与网络接入控制、访问权限控制等网络安全措施整合为一个联动的安全体系</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3、支持STP/RSTP/MSTP/RRPP协议</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4、支持基于第二层、第三层和第四层的ACL</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5、支持虚拟化技术，将多台物理设备互相连接起来，使其虚拟为一台逻辑设备同时按照用户需求实现弹性扩展，可以实现“热插拔”，不影响其他设备的正常运行</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B941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9AB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41A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9E3E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网关AC控制器</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70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E7C6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≥2个GE WAN口，≥6个GE LAN口，≥2个10GBASE-R-SFP+接口</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16095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10C7E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5031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141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3FB3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★吞吐量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7A7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≥4Gbps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1FB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46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5BEC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9DD7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05F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530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内置固化电源非外置电源适配器</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4504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430D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97F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C56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A1E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管理数量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E3D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最大管理AP数量≥128个，最大支持用户≥2048</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3C15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E744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2"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64FA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71A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1DF5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4FF6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1、支持AC内漫游，支持跨AC间漫游，支持跨VLAN的三层漫游</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2、支持MAC地址认证、802.1x认证（EAP-PAP、EAP-MD5、EAP-PEAP、EAP-TLS、EAP-TTLS）、Portal认证、MAC+Portal混合认证；支持WPA标准、WEP(WEP64/WEP128)、TKIP、CCMP；支持内置portal、dot1x服务器</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br w:type="textWrapping"/>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3、为保障无线稳定性，要求全网设备统一品牌，AC控制器与AP适配</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B92E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F4E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20A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BFCE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防火墙</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EF4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★千兆SFP光口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A5D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≥2个</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2FF83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w:t>
            </w:r>
          </w:p>
        </w:tc>
      </w:tr>
      <w:tr w14:paraId="7E7C6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2A2E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6AA3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F0E2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★千兆电口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EE44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592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2A9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C43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A819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BA3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★结构</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F73B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1U高度</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A2B2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4CC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3DB1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1AD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54A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★电源</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275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冗余电源</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5C2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4892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AA60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DE02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671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★SSD硬盘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1A9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≥60GB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F61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4D1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4D4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6AE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2BE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002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≥4GB</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9EC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F343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ADEF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4172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47B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★功能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03A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七层应用识别防火墙功能，标配含入侵防御、防病毒、URL过滤的不少于3年的Licenses许可使用授权。可通过购买License扩展（包括但不限于）：应用识别、入侵防御、防病毒、带宽管理、Anti-DDoS、URL过滤、反垃圾邮件功能等功能</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3C64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D204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D916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9A72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235D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★部署方式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654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支持双机、链路热备、接口聚合及透明模式、路由模式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BA98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A36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37"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C42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64BA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72C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★SFP光模块（LC-LC单模）</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6FB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≥5个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E077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CF1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C526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E89D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BE03">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★吞吐量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609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网络层吞吐量≥3Gbps,应用层吞吐量≥1Gbps,防病毒吞吐量≥400Mbps,IPS吞吐量≥250Mbps,全威胁吞吐量≥200Mbps</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3069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C143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9"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2BB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44CD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6BC2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最大并发连接数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1085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≥100万个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3CE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9F9C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C9DE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9BCB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7E8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每秒新建连接数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8E6F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≥2万个</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A2DD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5F79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0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FA4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ED4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光模块</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EDC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★配置</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5D1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光模块-SFP+万兆单模双纤，LC-LC，支持与主流厂商服务器光模块对接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586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18</w:t>
            </w:r>
          </w:p>
        </w:tc>
      </w:tr>
      <w:tr w14:paraId="520AE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394E4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9E3B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无线局域网热点</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1B62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端口数量及类型</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550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固化接口数≥1个，包括1个10M/100M/1000M电口，提供官网链接和截图证明</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2FBA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34DF0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EF8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148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752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安装方式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5B4A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支持壁挂、吸顶和面板安装方式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9E9D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B4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8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0475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C98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12E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6D7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整机协商速率≥2.9Gbps，其中5G射频速率≥2.4G，2.4G射频速率≥0.5G</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11F4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32D1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D93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2611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3EE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工作模式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2B23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采用整机双频4流设计，可同时工作在802.11a/b/g/n/ac/ac wave2/ax模式</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8FC9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193D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0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AAC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应用服务器软硬件设备</w:t>
            </w:r>
          </w:p>
        </w:tc>
        <w:tc>
          <w:tcPr>
            <w:tcW w:w="795" w:type="dxa"/>
            <w:vMerge w:val="restart"/>
            <w:tcBorders>
              <w:top w:val="single" w:color="000000" w:sz="4" w:space="0"/>
              <w:left w:val="single" w:color="000000" w:sz="4" w:space="0"/>
              <w:bottom w:val="single" w:color="000000" w:sz="4" w:space="0"/>
              <w:right w:val="nil"/>
            </w:tcBorders>
            <w:shd w:val="clear" w:color="auto" w:fill="auto"/>
            <w:vAlign w:val="center"/>
          </w:tcPr>
          <w:p w14:paraId="7EE1321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w:t>
            </w: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0E03B78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★CPU信息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FAD005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CPU型号:C86处理器（需求通用版型号，非特供版型号）</w:t>
            </w:r>
          </w:p>
        </w:tc>
        <w:tc>
          <w:tcPr>
            <w:tcW w:w="825" w:type="dxa"/>
            <w:vMerge w:val="restart"/>
            <w:tcBorders>
              <w:top w:val="single" w:color="000000" w:sz="4" w:space="0"/>
              <w:left w:val="nil"/>
              <w:bottom w:val="single" w:color="000000" w:sz="4" w:space="0"/>
              <w:right w:val="single" w:color="000000" w:sz="4" w:space="0"/>
            </w:tcBorders>
            <w:shd w:val="clear" w:color="auto" w:fill="auto"/>
            <w:vAlign w:val="center"/>
          </w:tcPr>
          <w:p w14:paraId="1DDA1FF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2CB32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CFD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EEFFD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19FA39D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7FAD62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标配CPU数量≥2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455C23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E43D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952E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E00C0D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C64A9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6F6F8B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物理核心数≥16</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12F279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EC61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965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5B3591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AD0DF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804557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基础主频≥2.2GHz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233031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77D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64A4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D0B33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36739B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509983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线程数≥32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A70AF5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7396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4A6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8F3DB8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7DAFAB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7F3266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支持内存的最高速率≥DDR4-3200MHz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3D973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27BB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DE26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B5D18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E9C50B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A76FED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位宽≥64</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8252D0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2D86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2155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6249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C8564A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B6F425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CPU关键部件应当在中国信息安全测评中心发布的安全可靠测评结果公告（2023年第1号）所公布CPU名录中</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BB5B6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139E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0434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46BD6E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1EB7CA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★主板的CPU和内存情况</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E15E6D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支持的CPU型号：C86处理器</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14213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75DE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69B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51B8292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162A5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02C4C2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可装载CPU数量≥2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294DC7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0AF1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EB4C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89804C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5CA7CC5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1A2073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内存规格及时钟频率≥DDR4-3200MHz</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4607EC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CE98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7D0A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14DE7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197AD80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08E259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标配内存数量≥2条</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BE915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2943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D34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0000135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85EE66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E057DC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标配内存总容量≥64G</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74D58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70C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9591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688131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F85490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684618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非板载内存的可扩展插槽数量≥16个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27AC09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25CD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D9B2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D2BF8F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708E5B6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主板存储接口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575206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至少支持SATA3.0、SAS、M.2(NVMe)、U.2、PCIe(4.0-5.0)等存储接口中的1种</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84ECC0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3DDA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E13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73404E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CACBA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★PCIe插槽接口</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80365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符合PCIe4.0或以上的高速串行计算机扩展总线标准，PCIe的接口速率与位宽需保证向下兼容</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CB222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E96D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9945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E5AD8F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FD4D94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★主板PCIe插槽数量及规格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CF1752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PCIe4.0插槽或接口≥6个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8ACB49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42E6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8602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EB8B99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C8507B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★存储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48284D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标配做完raid1后可用空间2TB的固态存储，标配做完raid6后可用空间30TB机械存储，此两类硬盘部件均要求采用企业级型号</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037AC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C8A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B121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8EF229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817E1F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★3.5英寸盘位</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A806FF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≥8个，兼容2.5英寸硬盘（含适配框架）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238A1D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B585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E0DE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26E9E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737F00B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RAID卡支持的SAS接口数</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C99DD8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≥8</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84463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6CC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E0A03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0F0547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8DA4D5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★网口速率和数量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71529B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千兆以太网接口≥4个，支持跨网段</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F28DA2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B3A9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FCF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9F58C3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34EF37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4775705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管理口≥1个</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773E2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B92B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26E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D6056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15A215F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★电源模块数量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A59787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EC178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413C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AAA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6C8822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199234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DE166F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电源满足处理器满载时的需求，支持热插拔</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7C46B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5910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A0AA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20A216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4017D48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★尺寸（高×宽×深）</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537386E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19英寸工业标准2U机架式，配置导轨、理线臂等机架安装套件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62BEC2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2AF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C5A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EE6BAE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0B957AB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★环境适应性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0334B00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气候环境适应性应符合GB/T 9813.3的有关规定，工作温度20～40℃；工作相对湿度35%～80%，贮存运输相对湿度20％～93%（40℃）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2BD0F5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5A93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100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BF5AE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F70827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★RAID卡RAID 级别支持</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728073E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缓存≥4GB,支持组盘数不少于8个,支持SAS、SATA等类型，配置断电保护，支持raid 0,1,3,5,6，01，10等主流模式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DCD1C4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FDC4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53E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CB548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top"/>
          </w:tcPr>
          <w:p w14:paraId="2066053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1EEA3E1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标配内存总容量≥64G</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373613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D18D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83B1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1CBA4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2369087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648996F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标配内存数量≥2条</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3E84674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B793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1480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A45C2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6DAE37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1C8FBB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单内存模块容量≥32GB</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5EB0F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DB5B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BA4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BBADF1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top"/>
          </w:tcPr>
          <w:p w14:paraId="76E6F69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2FD2113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内存速率≥3200MT/s</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09DE6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EE19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E3B1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7A4A9D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A28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显示器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EEC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每服务器配置两台27英寸，mini-IPS面板，可视角度≥178度，色差DeltaE≤2，支持不低于4K分辨率@60Hz、99%sRGB色域、10bit色深、HDR1000、USB TYPE A/C扩展，含可升降、可旋转至竖屏、可摆向支架</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9FEDC5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B15E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FEC6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0D84F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top"/>
          </w:tcPr>
          <w:p w14:paraId="5AE073D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固态硬盘可靠性</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top"/>
          </w:tcPr>
          <w:p w14:paraId="3BA8407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SSD 的 m1 值（MTBF 的不可接受值）不低于200000h</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0BBD02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7CEB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7002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4741E46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nil"/>
              <w:left w:val="single" w:color="000000" w:sz="4" w:space="0"/>
              <w:bottom w:val="single" w:color="000000" w:sz="4" w:space="0"/>
              <w:right w:val="single" w:color="000000" w:sz="4" w:space="0"/>
            </w:tcBorders>
            <w:shd w:val="clear" w:color="auto" w:fill="auto"/>
            <w:vAlign w:val="center"/>
          </w:tcPr>
          <w:p w14:paraId="0D485BD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导轨及附件</w:t>
            </w:r>
          </w:p>
        </w:tc>
        <w:tc>
          <w:tcPr>
            <w:tcW w:w="4755" w:type="dxa"/>
            <w:tcBorders>
              <w:top w:val="nil"/>
              <w:left w:val="single" w:color="000000" w:sz="4" w:space="0"/>
              <w:bottom w:val="single" w:color="000000" w:sz="4" w:space="0"/>
              <w:right w:val="single" w:color="000000" w:sz="4" w:space="0"/>
            </w:tcBorders>
            <w:shd w:val="clear" w:color="auto" w:fill="auto"/>
            <w:vAlign w:val="center"/>
          </w:tcPr>
          <w:p w14:paraId="5503F65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含滚珠式滑动导轨，理线臂，104及以上键数机械键盘，光电鼠标（DPI≥4000）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B4522F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ED8A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567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84405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BE2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其他</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756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含上架安装配置、运维培训</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724E50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2D0D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EEAD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1924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应用服务器操作系统</w:t>
            </w:r>
          </w:p>
        </w:tc>
        <w:tc>
          <w:tcPr>
            <w:tcW w:w="1650" w:type="dxa"/>
            <w:tcBorders>
              <w:top w:val="single" w:color="000000" w:sz="4" w:space="0"/>
              <w:left w:val="single" w:color="000000" w:sz="4" w:space="0"/>
              <w:bottom w:val="nil"/>
              <w:right w:val="single" w:color="000000" w:sz="4" w:space="0"/>
            </w:tcBorders>
            <w:shd w:val="clear" w:color="auto" w:fill="auto"/>
            <w:vAlign w:val="center"/>
          </w:tcPr>
          <w:p w14:paraId="438ED3E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★品牌型号</w:t>
            </w:r>
          </w:p>
        </w:tc>
        <w:tc>
          <w:tcPr>
            <w:tcW w:w="4755" w:type="dxa"/>
            <w:tcBorders>
              <w:top w:val="single" w:color="000000" w:sz="4" w:space="0"/>
              <w:left w:val="single" w:color="000000" w:sz="4" w:space="0"/>
              <w:bottom w:val="nil"/>
              <w:right w:val="single" w:color="000000" w:sz="4" w:space="0"/>
            </w:tcBorders>
            <w:shd w:val="clear" w:color="auto" w:fill="auto"/>
            <w:vAlign w:val="center"/>
          </w:tcPr>
          <w:p w14:paraId="2990856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正版商用服务器版麒麟V10（正版授权及3年原厂服务）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4E8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w:t>
            </w:r>
          </w:p>
        </w:tc>
      </w:tr>
      <w:tr w14:paraId="31EE0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5CB7A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终端设备</w:t>
            </w:r>
          </w:p>
        </w:tc>
        <w:tc>
          <w:tcPr>
            <w:tcW w:w="795" w:type="dxa"/>
            <w:vMerge w:val="restart"/>
            <w:tcBorders>
              <w:top w:val="single" w:color="000000" w:sz="4" w:space="0"/>
              <w:left w:val="single" w:color="000000" w:sz="4" w:space="0"/>
              <w:bottom w:val="single" w:color="000000" w:sz="4" w:space="0"/>
              <w:right w:val="nil"/>
            </w:tcBorders>
            <w:shd w:val="clear" w:color="auto" w:fill="auto"/>
            <w:vAlign w:val="center"/>
          </w:tcPr>
          <w:p w14:paraId="35E9C0C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平板及附件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DE9F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操作系统</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C8C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HarmonyOS 3.1、MagicUI5.0、Android 13或更新版本</w:t>
            </w:r>
          </w:p>
        </w:tc>
        <w:tc>
          <w:tcPr>
            <w:tcW w:w="825" w:type="dxa"/>
            <w:vMerge w:val="restart"/>
            <w:tcBorders>
              <w:top w:val="single" w:color="000000" w:sz="4" w:space="0"/>
              <w:left w:val="nil"/>
              <w:bottom w:val="single" w:color="000000" w:sz="4" w:space="0"/>
              <w:right w:val="single" w:color="000000" w:sz="4" w:space="0"/>
            </w:tcBorders>
            <w:shd w:val="clear" w:color="auto" w:fill="auto"/>
            <w:vAlign w:val="center"/>
          </w:tcPr>
          <w:p w14:paraId="3047503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9</w:t>
            </w:r>
          </w:p>
        </w:tc>
      </w:tr>
      <w:tr w14:paraId="20E0C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C41B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B8FFE8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EB8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处理器</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DDA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高通骁龙695、迅鲲™900T或更高性能</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80D75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D749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68B2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A85F80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21BD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屏幕尺寸</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2FC3F">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≥10 英寸</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01B849B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168D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BF76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FB01C7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13D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分辨率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F445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≥2000x1200</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F5B28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E1C8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E8D0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31014CA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D1D7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触摸屏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1D2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电容式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2305904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CA8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ADF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598548E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4ED58">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运行内存</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0503">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≥6GB</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910E5B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A465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528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58CE60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A0A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存储容量</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2A0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≥128GB（此容量不含扩展存储卡容量）</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867B6B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8694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2E5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631930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06E5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蓝牙</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DB5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支持蓝牙5.1 及以上协议</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1696ED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7BA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197E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24CD63B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EC13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电池</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4F16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≥7250mAh</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4951863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BF56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8D9C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6EFD2DA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BA5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产品要求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6A5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通过 3C 认证</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6D2B7B4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8E3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C1E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76A2656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4979D">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★网络连接</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4B6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WIFI/WLAN</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7C9CF28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60E4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8A14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nil"/>
            </w:tcBorders>
            <w:shd w:val="clear" w:color="auto" w:fill="auto"/>
            <w:vAlign w:val="center"/>
          </w:tcPr>
          <w:p w14:paraId="19D691C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nil"/>
              <w:right w:val="single" w:color="000000" w:sz="4" w:space="0"/>
            </w:tcBorders>
            <w:shd w:val="clear" w:color="auto" w:fill="auto"/>
            <w:vAlign w:val="center"/>
          </w:tcPr>
          <w:p w14:paraId="752D2DA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★附件</w:t>
            </w:r>
          </w:p>
        </w:tc>
        <w:tc>
          <w:tcPr>
            <w:tcW w:w="4755" w:type="dxa"/>
            <w:tcBorders>
              <w:top w:val="single" w:color="000000" w:sz="4" w:space="0"/>
              <w:left w:val="single" w:color="000000" w:sz="4" w:space="0"/>
              <w:bottom w:val="nil"/>
              <w:right w:val="single" w:color="000000" w:sz="4" w:space="0"/>
            </w:tcBorders>
            <w:shd w:val="clear" w:color="auto" w:fill="auto"/>
            <w:vAlign w:val="center"/>
          </w:tcPr>
          <w:p w14:paraId="2F1FD99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含施工现场条件允许的支架、安全锁、保护膜、磁吸触控笔、充电套件、翻盖保护套（四角全包、商务风格）等</w:t>
            </w:r>
          </w:p>
        </w:tc>
        <w:tc>
          <w:tcPr>
            <w:tcW w:w="825" w:type="dxa"/>
            <w:vMerge w:val="continue"/>
            <w:tcBorders>
              <w:top w:val="single" w:color="000000" w:sz="4" w:space="0"/>
              <w:left w:val="nil"/>
              <w:bottom w:val="single" w:color="000000" w:sz="4" w:space="0"/>
              <w:right w:val="single" w:color="000000" w:sz="4" w:space="0"/>
            </w:tcBorders>
            <w:shd w:val="clear" w:color="auto" w:fill="auto"/>
            <w:vAlign w:val="center"/>
          </w:tcPr>
          <w:p w14:paraId="59E9996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4B85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5C90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nil"/>
              <w:right w:val="nil"/>
            </w:tcBorders>
            <w:shd w:val="clear" w:color="auto" w:fill="auto"/>
            <w:vAlign w:val="center"/>
          </w:tcPr>
          <w:p w14:paraId="5D66916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微型主机</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6B0">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★CPU信息</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0AA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CPU型号:C86处理器（需求通用版型号，非特供版型号），最高主频≥3.0GHz，核心数≥8，线程数≥16，CPU支持的内存最高速率≥3200MT/s</w:t>
            </w:r>
          </w:p>
        </w:tc>
        <w:tc>
          <w:tcPr>
            <w:tcW w:w="825" w:type="dxa"/>
            <w:vMerge w:val="restart"/>
            <w:tcBorders>
              <w:top w:val="single" w:color="000000" w:sz="4" w:space="0"/>
              <w:left w:val="nil"/>
              <w:bottom w:val="nil"/>
              <w:right w:val="single" w:color="000000" w:sz="4" w:space="0"/>
            </w:tcBorders>
            <w:shd w:val="clear" w:color="auto" w:fill="auto"/>
            <w:vAlign w:val="center"/>
          </w:tcPr>
          <w:p w14:paraId="6F781D6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72F99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ACC3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429F140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714487">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★内存规格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8A3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内存配置容量≥32GB</w:t>
            </w:r>
          </w:p>
        </w:tc>
        <w:tc>
          <w:tcPr>
            <w:tcW w:w="825" w:type="dxa"/>
            <w:vMerge w:val="continue"/>
            <w:tcBorders>
              <w:top w:val="single" w:color="000000" w:sz="4" w:space="0"/>
              <w:left w:val="nil"/>
              <w:bottom w:val="nil"/>
              <w:right w:val="single" w:color="000000" w:sz="4" w:space="0"/>
            </w:tcBorders>
            <w:shd w:val="clear" w:color="auto" w:fill="auto"/>
            <w:vAlign w:val="center"/>
          </w:tcPr>
          <w:p w14:paraId="43EC6E3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B454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C16C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CE3B17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1CAB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814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内存读写速率≥3200MT/s</w:t>
            </w:r>
          </w:p>
        </w:tc>
        <w:tc>
          <w:tcPr>
            <w:tcW w:w="825" w:type="dxa"/>
            <w:vMerge w:val="continue"/>
            <w:tcBorders>
              <w:top w:val="single" w:color="000000" w:sz="4" w:space="0"/>
              <w:left w:val="nil"/>
              <w:bottom w:val="nil"/>
              <w:right w:val="single" w:color="000000" w:sz="4" w:space="0"/>
            </w:tcBorders>
            <w:shd w:val="clear" w:color="auto" w:fill="auto"/>
            <w:vAlign w:val="center"/>
          </w:tcPr>
          <w:p w14:paraId="5EBDABB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E74F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C680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7D0A9F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796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DE9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LPDDR4或DDR4及以上内存类型</w:t>
            </w:r>
          </w:p>
        </w:tc>
        <w:tc>
          <w:tcPr>
            <w:tcW w:w="825" w:type="dxa"/>
            <w:vMerge w:val="continue"/>
            <w:tcBorders>
              <w:top w:val="single" w:color="000000" w:sz="4" w:space="0"/>
              <w:left w:val="nil"/>
              <w:bottom w:val="nil"/>
              <w:right w:val="single" w:color="000000" w:sz="4" w:space="0"/>
            </w:tcBorders>
            <w:shd w:val="clear" w:color="auto" w:fill="auto"/>
            <w:vAlign w:val="center"/>
          </w:tcPr>
          <w:p w14:paraId="5D2533F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64EF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7"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267D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6384919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center"/>
          </w:tcPr>
          <w:p w14:paraId="70074D2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主板规格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762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支持ARM或C86架构处理器（8核，主频≥3.0GHz）</w:t>
            </w:r>
          </w:p>
        </w:tc>
        <w:tc>
          <w:tcPr>
            <w:tcW w:w="825" w:type="dxa"/>
            <w:vMerge w:val="continue"/>
            <w:tcBorders>
              <w:top w:val="single" w:color="000000" w:sz="4" w:space="0"/>
              <w:left w:val="nil"/>
              <w:bottom w:val="nil"/>
              <w:right w:val="single" w:color="000000" w:sz="4" w:space="0"/>
            </w:tcBorders>
            <w:shd w:val="clear" w:color="auto" w:fill="auto"/>
            <w:vAlign w:val="center"/>
          </w:tcPr>
          <w:p w14:paraId="38546F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802E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BAD8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36645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61A77ED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08F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空闲内存插槽数量≥2（板载内存不涉及）</w:t>
            </w:r>
          </w:p>
        </w:tc>
        <w:tc>
          <w:tcPr>
            <w:tcW w:w="825" w:type="dxa"/>
            <w:vMerge w:val="continue"/>
            <w:tcBorders>
              <w:top w:val="single" w:color="000000" w:sz="4" w:space="0"/>
              <w:left w:val="nil"/>
              <w:bottom w:val="nil"/>
              <w:right w:val="single" w:color="000000" w:sz="4" w:space="0"/>
            </w:tcBorders>
            <w:shd w:val="clear" w:color="auto" w:fill="auto"/>
            <w:vAlign w:val="center"/>
          </w:tcPr>
          <w:p w14:paraId="36C24C9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FC2B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8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E981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01F3864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3D40806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1D15">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支持PCIe插槽数量不少于2个</w:t>
            </w:r>
          </w:p>
        </w:tc>
        <w:tc>
          <w:tcPr>
            <w:tcW w:w="825" w:type="dxa"/>
            <w:vMerge w:val="continue"/>
            <w:tcBorders>
              <w:top w:val="single" w:color="000000" w:sz="4" w:space="0"/>
              <w:left w:val="nil"/>
              <w:bottom w:val="nil"/>
              <w:right w:val="single" w:color="000000" w:sz="4" w:space="0"/>
            </w:tcBorders>
            <w:shd w:val="clear" w:color="auto" w:fill="auto"/>
            <w:vAlign w:val="center"/>
          </w:tcPr>
          <w:p w14:paraId="1DD37F7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9BD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1E88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114FBA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7ECD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存储设备规格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8149A">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固态盘数量≥1</w:t>
            </w:r>
          </w:p>
        </w:tc>
        <w:tc>
          <w:tcPr>
            <w:tcW w:w="825" w:type="dxa"/>
            <w:vMerge w:val="continue"/>
            <w:tcBorders>
              <w:top w:val="single" w:color="000000" w:sz="4" w:space="0"/>
              <w:left w:val="nil"/>
              <w:bottom w:val="nil"/>
              <w:right w:val="single" w:color="000000" w:sz="4" w:space="0"/>
            </w:tcBorders>
            <w:shd w:val="clear" w:color="auto" w:fill="auto"/>
            <w:vAlign w:val="center"/>
          </w:tcPr>
          <w:p w14:paraId="4CEF50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1B9B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1ECD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6AD474E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B28C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35B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固态存储容量≥512GB</w:t>
            </w:r>
          </w:p>
        </w:tc>
        <w:tc>
          <w:tcPr>
            <w:tcW w:w="825" w:type="dxa"/>
            <w:vMerge w:val="continue"/>
            <w:tcBorders>
              <w:top w:val="single" w:color="000000" w:sz="4" w:space="0"/>
              <w:left w:val="nil"/>
              <w:bottom w:val="nil"/>
              <w:right w:val="single" w:color="000000" w:sz="4" w:space="0"/>
            </w:tcBorders>
            <w:shd w:val="clear" w:color="auto" w:fill="auto"/>
            <w:vAlign w:val="center"/>
          </w:tcPr>
          <w:p w14:paraId="1D0AADF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D139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7E52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B778B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FBD7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E6F2">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固态存储寿命，TBW≥170TB</w:t>
            </w:r>
          </w:p>
        </w:tc>
        <w:tc>
          <w:tcPr>
            <w:tcW w:w="825" w:type="dxa"/>
            <w:vMerge w:val="continue"/>
            <w:tcBorders>
              <w:top w:val="single" w:color="000000" w:sz="4" w:space="0"/>
              <w:left w:val="nil"/>
              <w:bottom w:val="nil"/>
              <w:right w:val="single" w:color="000000" w:sz="4" w:space="0"/>
            </w:tcBorders>
            <w:shd w:val="clear" w:color="auto" w:fill="auto"/>
            <w:vAlign w:val="center"/>
          </w:tcPr>
          <w:p w14:paraId="31A5AD2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7E39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C7AE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4C3820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4212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1DD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采用M.2标准插卡形态</w:t>
            </w:r>
          </w:p>
        </w:tc>
        <w:tc>
          <w:tcPr>
            <w:tcW w:w="825" w:type="dxa"/>
            <w:vMerge w:val="continue"/>
            <w:tcBorders>
              <w:top w:val="single" w:color="000000" w:sz="4" w:space="0"/>
              <w:left w:val="nil"/>
              <w:bottom w:val="nil"/>
              <w:right w:val="single" w:color="000000" w:sz="4" w:space="0"/>
            </w:tcBorders>
            <w:shd w:val="clear" w:color="auto" w:fill="auto"/>
            <w:vAlign w:val="center"/>
          </w:tcPr>
          <w:p w14:paraId="6ECC16B4">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6D464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EE13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F307DF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nil"/>
              <w:right w:val="single" w:color="000000" w:sz="4" w:space="0"/>
            </w:tcBorders>
            <w:shd w:val="clear" w:color="auto" w:fill="auto"/>
            <w:vAlign w:val="center"/>
          </w:tcPr>
          <w:p w14:paraId="3765D4F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外设规格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478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键盘：104键机械式；键程2.3mm~4.0mm；按键压力应在0.54N±0.14N；无线；按键寿命≥1000万次</w:t>
            </w:r>
          </w:p>
        </w:tc>
        <w:tc>
          <w:tcPr>
            <w:tcW w:w="825" w:type="dxa"/>
            <w:vMerge w:val="continue"/>
            <w:tcBorders>
              <w:top w:val="single" w:color="000000" w:sz="4" w:space="0"/>
              <w:left w:val="nil"/>
              <w:bottom w:val="nil"/>
              <w:right w:val="single" w:color="000000" w:sz="4" w:space="0"/>
            </w:tcBorders>
            <w:shd w:val="clear" w:color="auto" w:fill="auto"/>
            <w:vAlign w:val="center"/>
          </w:tcPr>
          <w:p w14:paraId="5408F5B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7D6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738A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D5B28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nil"/>
              <w:right w:val="single" w:color="000000" w:sz="4" w:space="0"/>
            </w:tcBorders>
            <w:shd w:val="clear" w:color="auto" w:fill="auto"/>
            <w:vAlign w:val="center"/>
          </w:tcPr>
          <w:p w14:paraId="0520A9C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EC3B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鼠标：无线；DPI分辨率为800~1600；其它参数应符合GB/T 26245的相关规定；按键寿命≥500万次</w:t>
            </w:r>
          </w:p>
        </w:tc>
        <w:tc>
          <w:tcPr>
            <w:tcW w:w="825" w:type="dxa"/>
            <w:vMerge w:val="continue"/>
            <w:tcBorders>
              <w:top w:val="single" w:color="000000" w:sz="4" w:space="0"/>
              <w:left w:val="nil"/>
              <w:bottom w:val="nil"/>
              <w:right w:val="single" w:color="000000" w:sz="4" w:space="0"/>
            </w:tcBorders>
            <w:shd w:val="clear" w:color="auto" w:fill="auto"/>
            <w:vAlign w:val="center"/>
          </w:tcPr>
          <w:p w14:paraId="4B0A3A9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314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97BC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3BF2A9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D035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★显卡要求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FBEE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支持4K视频流畅输出，与本清单的触控屏接口适配</w:t>
            </w:r>
          </w:p>
        </w:tc>
        <w:tc>
          <w:tcPr>
            <w:tcW w:w="825" w:type="dxa"/>
            <w:vMerge w:val="continue"/>
            <w:tcBorders>
              <w:top w:val="single" w:color="000000" w:sz="4" w:space="0"/>
              <w:left w:val="nil"/>
              <w:bottom w:val="nil"/>
              <w:right w:val="single" w:color="000000" w:sz="4" w:space="0"/>
            </w:tcBorders>
            <w:shd w:val="clear" w:color="auto" w:fill="auto"/>
            <w:vAlign w:val="center"/>
          </w:tcPr>
          <w:p w14:paraId="6634616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286D3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8B2C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96E817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2B28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39EC">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显卡应支持2块屏幕同时显示</w:t>
            </w:r>
          </w:p>
        </w:tc>
        <w:tc>
          <w:tcPr>
            <w:tcW w:w="825" w:type="dxa"/>
            <w:vMerge w:val="continue"/>
            <w:tcBorders>
              <w:top w:val="single" w:color="000000" w:sz="4" w:space="0"/>
              <w:left w:val="nil"/>
              <w:bottom w:val="nil"/>
              <w:right w:val="single" w:color="000000" w:sz="4" w:space="0"/>
            </w:tcBorders>
            <w:shd w:val="clear" w:color="auto" w:fill="auto"/>
            <w:vAlign w:val="center"/>
          </w:tcPr>
          <w:p w14:paraId="0D227E0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7BB68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10F0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3FD6EC2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E33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有线网卡速率</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F6E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最高速率应不低于1000Mbps，应支持10Mbps、100Mbps、1000Mbps速率自适应</w:t>
            </w:r>
          </w:p>
        </w:tc>
        <w:tc>
          <w:tcPr>
            <w:tcW w:w="825" w:type="dxa"/>
            <w:vMerge w:val="continue"/>
            <w:tcBorders>
              <w:top w:val="single" w:color="000000" w:sz="4" w:space="0"/>
              <w:left w:val="nil"/>
              <w:bottom w:val="nil"/>
              <w:right w:val="single" w:color="000000" w:sz="4" w:space="0"/>
            </w:tcBorders>
            <w:shd w:val="clear" w:color="auto" w:fill="auto"/>
            <w:vAlign w:val="center"/>
          </w:tcPr>
          <w:p w14:paraId="17DA45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338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BD87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BB4763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55DF">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★I/O接口功能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EEE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提供基于标准USB接口外设连接功能、基于音频输入输出接口的音频扩展功能、基于PCIe接口板卡扩展功能、基于HDMI或VGA或Type-C或DVI或DP等接口外接显示器扩展功能、基于存储接口对产品进行增容功能等。产品I/O接口应具备外接标准USB设备、显示器、音频设备等内外部设备能力</w:t>
            </w:r>
          </w:p>
        </w:tc>
        <w:tc>
          <w:tcPr>
            <w:tcW w:w="825" w:type="dxa"/>
            <w:vMerge w:val="continue"/>
            <w:tcBorders>
              <w:top w:val="single" w:color="000000" w:sz="4" w:space="0"/>
              <w:left w:val="nil"/>
              <w:bottom w:val="nil"/>
              <w:right w:val="single" w:color="000000" w:sz="4" w:space="0"/>
            </w:tcBorders>
            <w:shd w:val="clear" w:color="auto" w:fill="auto"/>
            <w:vAlign w:val="center"/>
          </w:tcPr>
          <w:p w14:paraId="101B0130">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33BC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A756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009BD38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AA2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★预装操作系统</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C29D9">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预装统信桌面操作系统V20（含彩虹桌面模块、正版授权及3年原厂服务）</w:t>
            </w:r>
          </w:p>
        </w:tc>
        <w:tc>
          <w:tcPr>
            <w:tcW w:w="825" w:type="dxa"/>
            <w:vMerge w:val="continue"/>
            <w:tcBorders>
              <w:top w:val="single" w:color="000000" w:sz="4" w:space="0"/>
              <w:left w:val="nil"/>
              <w:bottom w:val="nil"/>
              <w:right w:val="single" w:color="000000" w:sz="4" w:space="0"/>
            </w:tcBorders>
            <w:shd w:val="clear" w:color="auto" w:fill="auto"/>
            <w:vAlign w:val="center"/>
          </w:tcPr>
          <w:p w14:paraId="0A2319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A55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4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0AC6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76805A3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969451">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★信息安全基本要求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B7EB">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a)产品应符合GB/T 39276的5.2的规定</w:t>
            </w:r>
          </w:p>
        </w:tc>
        <w:tc>
          <w:tcPr>
            <w:tcW w:w="825" w:type="dxa"/>
            <w:vMerge w:val="continue"/>
            <w:tcBorders>
              <w:top w:val="single" w:color="000000" w:sz="4" w:space="0"/>
              <w:left w:val="nil"/>
              <w:bottom w:val="nil"/>
              <w:right w:val="single" w:color="000000" w:sz="4" w:space="0"/>
            </w:tcBorders>
            <w:shd w:val="clear" w:color="auto" w:fill="auto"/>
            <w:vAlign w:val="center"/>
          </w:tcPr>
          <w:p w14:paraId="3B697F18">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56C63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840B1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13567229">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A4D00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8CA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b)生产厂商应建立漏洞跟踪表，保证产品版本涉及到的漏洞(如驱动程序等)可查看</w:t>
            </w:r>
          </w:p>
        </w:tc>
        <w:tc>
          <w:tcPr>
            <w:tcW w:w="825" w:type="dxa"/>
            <w:vMerge w:val="continue"/>
            <w:tcBorders>
              <w:top w:val="single" w:color="000000" w:sz="4" w:space="0"/>
              <w:left w:val="nil"/>
              <w:bottom w:val="nil"/>
              <w:right w:val="single" w:color="000000" w:sz="4" w:space="0"/>
            </w:tcBorders>
            <w:shd w:val="clear" w:color="auto" w:fill="auto"/>
            <w:vAlign w:val="center"/>
          </w:tcPr>
          <w:p w14:paraId="2ECA19A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06245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D418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2D41FCC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1E8B6">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BADA8">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c)产品不得包含已知的恶意代码或漏洞，不存在未声明的指令、功能、接口</w:t>
            </w:r>
          </w:p>
        </w:tc>
        <w:tc>
          <w:tcPr>
            <w:tcW w:w="825" w:type="dxa"/>
            <w:vMerge w:val="continue"/>
            <w:tcBorders>
              <w:top w:val="single" w:color="000000" w:sz="4" w:space="0"/>
              <w:left w:val="nil"/>
              <w:bottom w:val="nil"/>
              <w:right w:val="single" w:color="000000" w:sz="4" w:space="0"/>
            </w:tcBorders>
            <w:shd w:val="clear" w:color="auto" w:fill="auto"/>
            <w:vAlign w:val="center"/>
          </w:tcPr>
          <w:p w14:paraId="69AFCDAB">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5A6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7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3303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nil"/>
              <w:right w:val="nil"/>
            </w:tcBorders>
            <w:shd w:val="clear" w:color="auto" w:fill="auto"/>
            <w:vAlign w:val="center"/>
          </w:tcPr>
          <w:p w14:paraId="5D1D925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C2CC">
            <w:pPr>
              <w:pStyle w:val="3"/>
              <w:keepNext w:val="0"/>
              <w:keepLines w:val="0"/>
              <w:widowControl/>
              <w:suppressLineNumbers w:val="0"/>
              <w:spacing w:before="60" w:beforeAutospacing="0" w:after="60" w:afterAutospacing="0" w:line="20" w:lineRule="atLeast"/>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★机箱规格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5900">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机箱容量不超过12L</w:t>
            </w:r>
          </w:p>
        </w:tc>
        <w:tc>
          <w:tcPr>
            <w:tcW w:w="825" w:type="dxa"/>
            <w:vMerge w:val="continue"/>
            <w:tcBorders>
              <w:top w:val="single" w:color="000000" w:sz="4" w:space="0"/>
              <w:left w:val="nil"/>
              <w:bottom w:val="nil"/>
              <w:right w:val="single" w:color="000000" w:sz="4" w:space="0"/>
            </w:tcBorders>
            <w:shd w:val="clear" w:color="auto" w:fill="auto"/>
            <w:vAlign w:val="center"/>
          </w:tcPr>
          <w:p w14:paraId="685BDB5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61C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7A1AC">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2A9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触控屏</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73E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1FE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4K分辨率65英寸以上,厚度不超过55毫米，电容触控,支持外部计算机有线接入显示，开机直显不带启动菜单；与微型主机适配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009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7</w:t>
            </w:r>
          </w:p>
        </w:tc>
      </w:tr>
      <w:tr w14:paraId="73EF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EF20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A522">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机柜及配电组件</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445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430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高度不低于32U，前后立面间距800mm，可锁定地脚轮及地脚钉，网孔前后门，侧板可快拆，板材厚度包括立柱2.0MM、侧板及前后门1.2MM、固定托盘1.2MM以上，内置固定托盘不少于6件、盲板不少于4件，自适应温度可调速风扇组（静音风扇不少于4件），每柜含2件各8位2500W总控国标PDU</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8EC4">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5F735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E859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FF7C">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显示器</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1B69">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★规格</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571D">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17-19寸，4K分辨率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8AC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19FD6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33A4E">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9FF3AB">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机房UPS</w:t>
            </w:r>
          </w:p>
        </w:tc>
        <w:tc>
          <w:tcPr>
            <w:tcW w:w="1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E8F4E">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★性能</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FF761">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3KVA交流220V，支持稳压、防雷、防浪涌、网络远控、来电自启、6路以上国标10A3孔输出。</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E09B5">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4</w:t>
            </w:r>
          </w:p>
        </w:tc>
      </w:tr>
      <w:tr w14:paraId="47C08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BB672">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F8343">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10601">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A9D66">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电池数量不少于8节。</w:t>
            </w:r>
          </w:p>
          <w:p w14:paraId="11B0953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单节电池额定电压12V,单节电池额定容量不少于</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lang w:val="en-US" w:eastAsia="zh-CN"/>
                <w14:textFill>
                  <w14:solidFill>
                    <w14:schemeClr w14:val="tx1"/>
                  </w14:solidFill>
                </w14:textFill>
              </w:rPr>
              <w:t>80</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AH。</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63F8A">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162C8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52FC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7F2AA7">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01CC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444EE">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标配不少于1个电池箱，单个电池箱支持放置不少于8节上述电池，且适用于上述ups主机。</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263E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3434B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0464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9944D">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426AF">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2307">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配套连接线等辅件</w:t>
            </w: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1FED5">
            <w:pP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p>
        </w:tc>
      </w:tr>
      <w:tr w14:paraId="4AFD9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1"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B75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施工、集成服务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4F0B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施工、集成服务</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E0B6">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pacing w:val="0"/>
                <w:w w:val="100"/>
                <w:sz w:val="28"/>
                <w:szCs w:val="28"/>
                <w:shd w:val="clear" w:color="auto" w:fill="auto"/>
                <w:vertAlign w:val="baseline"/>
                <w14:textFill>
                  <w14:solidFill>
                    <w14:schemeClr w14:val="tx1"/>
                  </w14:solidFill>
                </w14:textFill>
              </w:rPr>
              <w:t>★服务要求</w:t>
            </w:r>
          </w:p>
        </w:tc>
        <w:tc>
          <w:tcPr>
            <w:tcW w:w="4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B0B64">
            <w:pPr>
              <w:pStyle w:val="3"/>
              <w:keepNext w:val="0"/>
              <w:keepLines w:val="0"/>
              <w:widowControl/>
              <w:suppressLineNumbers w:val="0"/>
              <w:spacing w:before="60" w:beforeAutospacing="0" w:after="60" w:afterAutospacing="0"/>
              <w:ind w:left="0" w:right="0"/>
              <w:jc w:val="left"/>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包括本</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lang w:val="en-US" w:eastAsia="zh-CN"/>
                <w14:textFill>
                  <w14:solidFill>
                    <w14:schemeClr w14:val="tx1"/>
                  </w14:solidFill>
                </w14:textFill>
              </w:rPr>
              <w:t>标段以及标段一</w:t>
            </w: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相关的舱内、模拟机计算机房、楼内讲评监察室等位置及沿线必要设备安装，覆盖网络、电源、视频等线路敷设、设备联调等施工服务，涉及辅材包含线材、管路、转换转发器、配电组件等，满足系统应用需求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0CEA">
            <w:pPr>
              <w:pStyle w:val="3"/>
              <w:keepNext w:val="0"/>
              <w:keepLines w:val="0"/>
              <w:widowControl/>
              <w:suppressLineNumbers w:val="0"/>
              <w:spacing w:before="60" w:beforeAutospacing="0" w:after="60" w:afterAutospacing="0"/>
              <w:ind w:left="0" w:right="0"/>
              <w:jc w:val="center"/>
              <w:rPr>
                <w:rFonts w:hint="eastAsia" w:ascii="仿宋_GB2312" w:hAnsi="仿宋_GB2312" w:eastAsia="仿宋_GB2312" w:cs="仿宋_GB2312"/>
                <w:color w:val="000000" w:themeColor="text1"/>
                <w:sz w:val="28"/>
                <w:szCs w:val="28"/>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pacing w:val="0"/>
                <w:w w:val="100"/>
                <w:sz w:val="28"/>
                <w:szCs w:val="28"/>
                <w:shd w:val="clear" w:color="auto" w:fill="auto"/>
                <w:vertAlign w:val="baseline"/>
                <w14:textFill>
                  <w14:solidFill>
                    <w14:schemeClr w14:val="tx1"/>
                  </w14:solidFill>
                </w14:textFill>
              </w:rPr>
              <w:t>1</w:t>
            </w:r>
          </w:p>
        </w:tc>
      </w:tr>
    </w:tbl>
    <w:p w14:paraId="49527B40">
      <w:pPr>
        <w:rPr>
          <w:color w:val="000000" w:themeColor="text1"/>
          <w:shd w:val="clear" w:color="auto" w:fill="auto"/>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dit="trackedChanges" w:enforcement="1" w:cryptProviderType="rsaFull" w:cryptAlgorithmClass="hash" w:cryptAlgorithmType="typeAny" w:cryptAlgorithmSid="4" w:cryptSpinCount="0" w:hash="I9vk1lnX3NLnU5GTXtObVX6HODE=" w:salt="2AguIJ+/pxnRbUNmsO1Gk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NDBiYTRmZjhjZTBlZDIwNTRlMjE4MjMwNTkyMzYifQ=="/>
  </w:docVars>
  <w:rsids>
    <w:rsidRoot w:val="00000000"/>
    <w:rsid w:val="02192658"/>
    <w:rsid w:val="12F31813"/>
    <w:rsid w:val="1787132B"/>
    <w:rsid w:val="19E021D5"/>
    <w:rsid w:val="204750E9"/>
    <w:rsid w:val="30FB54A7"/>
    <w:rsid w:val="313A6FB3"/>
    <w:rsid w:val="42F70785"/>
    <w:rsid w:val="4E873865"/>
    <w:rsid w:val="5DC4007C"/>
    <w:rsid w:val="5FE20799"/>
    <w:rsid w:val="6AAC264E"/>
    <w:rsid w:val="76082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8336</Words>
  <Characters>9579</Characters>
  <Lines>0</Lines>
  <Paragraphs>0</Paragraphs>
  <TotalTime>18</TotalTime>
  <ScaleCrop>false</ScaleCrop>
  <LinksUpToDate>false</LinksUpToDate>
  <CharactersWithSpaces>9631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2025-01-07T05:28:00Z</dcterms:created>
  <dc:creator>admin</dc:creator>
  <cp:lastModifiedBy>崔睿智</cp:lastModifiedBy>
  <dcterms:modified xsi:type="dcterms:W3CDTF">2025-01-09T05:40:30Z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C6888E0E501F44B79E971D3731284889_12</vt:lpwstr>
  </property>
</Properties>
</file>